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0577F" w14:textId="0B10799A" w:rsidR="00F07020" w:rsidRDefault="007458BA">
      <w:pPr>
        <w:spacing w:after="4" w:line="251" w:lineRule="auto"/>
        <w:ind w:left="366" w:right="239" w:hanging="10"/>
        <w:jc w:val="center"/>
      </w:pPr>
      <w:r>
        <w:rPr>
          <w:noProof/>
        </w:rPr>
        <w:drawing>
          <wp:anchor distT="0" distB="0" distL="114300" distR="114300" simplePos="0" relativeHeight="251658240" behindDoc="1" locked="0" layoutInCell="1" allowOverlap="0" wp14:anchorId="0210A192" wp14:editId="6256313B">
            <wp:simplePos x="0" y="0"/>
            <wp:positionH relativeFrom="column">
              <wp:posOffset>74295</wp:posOffset>
            </wp:positionH>
            <wp:positionV relativeFrom="paragraph">
              <wp:posOffset>37576</wp:posOffset>
            </wp:positionV>
            <wp:extent cx="6129020" cy="6129020"/>
            <wp:effectExtent l="0" t="0" r="5080" b="5080"/>
            <wp:wrapNone/>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004E3E34" w:rsidRPr="004E3E34">
        <w:rPr>
          <w:b/>
        </w:rPr>
        <w:t>INEQUITIES ANALYSIS IN LOCAL OWN-SOURCE REVENUE POTENTIAL BETWEEN REGENCIES AND MUNICIPALITIES IN INDONESIA</w:t>
      </w:r>
      <w:r w:rsidR="00000000">
        <w:t xml:space="preserve"> </w:t>
      </w:r>
    </w:p>
    <w:p w14:paraId="77498597" w14:textId="0590476B" w:rsidR="00F07020" w:rsidRDefault="00000000">
      <w:pPr>
        <w:spacing w:line="259" w:lineRule="auto"/>
        <w:ind w:right="0" w:firstLine="0"/>
        <w:jc w:val="left"/>
      </w:pPr>
      <w:r>
        <w:t xml:space="preserve"> </w:t>
      </w:r>
    </w:p>
    <w:p w14:paraId="5A96E59E" w14:textId="797EE526" w:rsidR="00F07020" w:rsidRDefault="004E3E34">
      <w:pPr>
        <w:spacing w:line="259" w:lineRule="auto"/>
        <w:ind w:left="10" w:hanging="10"/>
        <w:jc w:val="center"/>
      </w:pPr>
      <w:r>
        <w:t xml:space="preserve">Muhammad Ilham Husni </w:t>
      </w:r>
      <w:proofErr w:type="spellStart"/>
      <w:r>
        <w:t>Zarkasi</w:t>
      </w:r>
      <w:proofErr w:type="spellEnd"/>
    </w:p>
    <w:p w14:paraId="69F3D0A9" w14:textId="73C49814" w:rsidR="00F07020" w:rsidRDefault="00000000">
      <w:pPr>
        <w:spacing w:line="259" w:lineRule="auto"/>
        <w:ind w:left="10" w:right="0" w:hanging="10"/>
        <w:jc w:val="center"/>
      </w:pPr>
      <w:r>
        <w:t>NPP. 3</w:t>
      </w:r>
      <w:r w:rsidR="004E3E34">
        <w:t>2.0385</w:t>
      </w:r>
    </w:p>
    <w:p w14:paraId="4998E3AC" w14:textId="2A15EAEC" w:rsidR="00F07020" w:rsidRDefault="00000000">
      <w:pPr>
        <w:spacing w:line="259" w:lineRule="auto"/>
        <w:ind w:left="10" w:right="3" w:hanging="10"/>
        <w:jc w:val="center"/>
      </w:pPr>
      <w:r>
        <w:rPr>
          <w:i/>
        </w:rPr>
        <w:t xml:space="preserve">Asdaf </w:t>
      </w:r>
      <w:proofErr w:type="spellStart"/>
      <w:r>
        <w:rPr>
          <w:i/>
        </w:rPr>
        <w:t>Kabupaten</w:t>
      </w:r>
      <w:proofErr w:type="spellEnd"/>
      <w:r>
        <w:rPr>
          <w:i/>
        </w:rPr>
        <w:t xml:space="preserve"> </w:t>
      </w:r>
      <w:r w:rsidR="004E3E34">
        <w:rPr>
          <w:i/>
        </w:rPr>
        <w:t>Bogor</w:t>
      </w:r>
      <w:r>
        <w:rPr>
          <w:i/>
        </w:rPr>
        <w:t xml:space="preserve">, </w:t>
      </w:r>
      <w:proofErr w:type="spellStart"/>
      <w:r>
        <w:rPr>
          <w:i/>
        </w:rPr>
        <w:t>Provinsi</w:t>
      </w:r>
      <w:proofErr w:type="spellEnd"/>
      <w:r>
        <w:rPr>
          <w:i/>
        </w:rPr>
        <w:t xml:space="preserve"> </w:t>
      </w:r>
      <w:r w:rsidR="004E3E34">
        <w:rPr>
          <w:i/>
        </w:rPr>
        <w:t>Jawa Barat</w:t>
      </w:r>
      <w:r>
        <w:rPr>
          <w:i/>
        </w:rPr>
        <w:t xml:space="preserve"> </w:t>
      </w:r>
    </w:p>
    <w:p w14:paraId="09631621" w14:textId="6D950632" w:rsidR="00F07020" w:rsidRDefault="00000000">
      <w:pPr>
        <w:spacing w:line="259" w:lineRule="auto"/>
        <w:ind w:left="10" w:right="3" w:hanging="10"/>
        <w:jc w:val="center"/>
      </w:pPr>
      <w:r>
        <w:rPr>
          <w:i/>
        </w:rPr>
        <w:t xml:space="preserve">Program Studi </w:t>
      </w:r>
      <w:proofErr w:type="spellStart"/>
      <w:r w:rsidR="004E3E34">
        <w:rPr>
          <w:i/>
        </w:rPr>
        <w:t>Keuangan</w:t>
      </w:r>
      <w:proofErr w:type="spellEnd"/>
      <w:r w:rsidR="004E3E34">
        <w:rPr>
          <w:i/>
        </w:rPr>
        <w:t xml:space="preserve"> </w:t>
      </w:r>
      <w:proofErr w:type="spellStart"/>
      <w:r w:rsidR="004E3E34">
        <w:rPr>
          <w:i/>
        </w:rPr>
        <w:t>Pulik</w:t>
      </w:r>
      <w:proofErr w:type="spellEnd"/>
      <w:r>
        <w:rPr>
          <w:i/>
        </w:rPr>
        <w:t xml:space="preserve"> </w:t>
      </w:r>
    </w:p>
    <w:p w14:paraId="39549EE5" w14:textId="6645F7D9" w:rsidR="00F07020" w:rsidRDefault="00000000">
      <w:pPr>
        <w:spacing w:line="259" w:lineRule="auto"/>
        <w:ind w:left="10" w:right="4" w:hanging="10"/>
        <w:jc w:val="center"/>
      </w:pPr>
      <w:r>
        <w:t xml:space="preserve"> Email:</w:t>
      </w:r>
      <w:r w:rsidR="004E3E34">
        <w:t xml:space="preserve"> muhammadilhamhusni@gmail.com</w:t>
      </w:r>
      <w:r>
        <w:t xml:space="preserve">  </w:t>
      </w:r>
    </w:p>
    <w:p w14:paraId="7E6085CA" w14:textId="77777777" w:rsidR="00F07020" w:rsidRDefault="00000000">
      <w:pPr>
        <w:spacing w:line="259" w:lineRule="auto"/>
        <w:ind w:left="57" w:right="0" w:firstLine="0"/>
        <w:jc w:val="center"/>
      </w:pPr>
      <w:r>
        <w:t xml:space="preserve"> </w:t>
      </w:r>
    </w:p>
    <w:p w14:paraId="57F984FA" w14:textId="7AD0F180" w:rsidR="00F07020" w:rsidRDefault="00000000">
      <w:pPr>
        <w:spacing w:line="259" w:lineRule="auto"/>
        <w:ind w:left="10" w:right="6" w:hanging="10"/>
        <w:jc w:val="center"/>
      </w:pPr>
      <w:proofErr w:type="spellStart"/>
      <w:r>
        <w:t>Pembimbing</w:t>
      </w:r>
      <w:proofErr w:type="spellEnd"/>
      <w:r>
        <w:t xml:space="preserve"> </w:t>
      </w:r>
      <w:proofErr w:type="spellStart"/>
      <w:r>
        <w:t>Skripsi</w:t>
      </w:r>
      <w:proofErr w:type="spellEnd"/>
      <w:r>
        <w:t>: Dr.</w:t>
      </w:r>
      <w:r w:rsidR="004E3E34">
        <w:t xml:space="preserve"> </w:t>
      </w:r>
      <w:proofErr w:type="spellStart"/>
      <w:r w:rsidR="004E3E34">
        <w:t>Halilul</w:t>
      </w:r>
      <w:proofErr w:type="spellEnd"/>
      <w:r w:rsidR="004E3E34">
        <w:t xml:space="preserve"> Khairi</w:t>
      </w:r>
      <w:r>
        <w:t xml:space="preserve">, </w:t>
      </w:r>
      <w:proofErr w:type="spellStart"/>
      <w:r>
        <w:t>MSi</w:t>
      </w:r>
      <w:proofErr w:type="spellEnd"/>
    </w:p>
    <w:p w14:paraId="1A6F488F" w14:textId="77777777" w:rsidR="00F07020" w:rsidRDefault="00000000">
      <w:pPr>
        <w:spacing w:line="259" w:lineRule="auto"/>
        <w:ind w:left="57" w:right="0" w:firstLine="0"/>
        <w:jc w:val="center"/>
      </w:pPr>
      <w:r>
        <w:t xml:space="preserve"> </w:t>
      </w:r>
    </w:p>
    <w:p w14:paraId="3A3F5258" w14:textId="77777777" w:rsidR="00F07020" w:rsidRDefault="00000000">
      <w:pPr>
        <w:spacing w:line="259" w:lineRule="auto"/>
        <w:ind w:left="57" w:right="0" w:firstLine="0"/>
        <w:jc w:val="center"/>
      </w:pPr>
      <w:r>
        <w:t xml:space="preserve"> </w:t>
      </w:r>
    </w:p>
    <w:p w14:paraId="556E38AC" w14:textId="5793219F" w:rsidR="00F07020" w:rsidRDefault="00000000" w:rsidP="004E3E34">
      <w:pPr>
        <w:spacing w:line="259" w:lineRule="auto"/>
        <w:ind w:left="10" w:right="3" w:hanging="10"/>
        <w:jc w:val="center"/>
      </w:pPr>
      <w:r>
        <w:rPr>
          <w:b/>
        </w:rPr>
        <w:t>ABSTRACT</w:t>
      </w:r>
      <w:r>
        <w:rPr>
          <w:b/>
          <w:color w:val="CC0000"/>
        </w:rPr>
        <w:t xml:space="preserve"> </w:t>
      </w:r>
    </w:p>
    <w:p w14:paraId="013D35D9" w14:textId="77777777" w:rsidR="004E3E34" w:rsidRDefault="004E3E34" w:rsidP="004E3E34">
      <w:pPr>
        <w:spacing w:line="259" w:lineRule="auto"/>
        <w:ind w:left="10" w:right="3" w:hanging="10"/>
        <w:jc w:val="center"/>
      </w:pPr>
    </w:p>
    <w:p w14:paraId="0080F4A8" w14:textId="2B29D176" w:rsidR="00F07020" w:rsidRDefault="00000000">
      <w:pPr>
        <w:spacing w:after="10" w:line="249" w:lineRule="auto"/>
        <w:ind w:left="-5" w:right="0" w:hanging="10"/>
      </w:pPr>
      <w:r>
        <w:rPr>
          <w:b/>
          <w:i/>
        </w:rPr>
        <w:t>Problem Statement/Background (GAP):</w:t>
      </w:r>
      <w:r>
        <w:rPr>
          <w:i/>
        </w:rPr>
        <w:t xml:space="preserve"> </w:t>
      </w:r>
      <w:r w:rsidR="004E3E34" w:rsidRPr="004E3E34">
        <w:rPr>
          <w:i/>
        </w:rPr>
        <w:t>One of the underlying factors contributing to the low revenue of Local Own-Source Revenue (PAD) lies in the suboptimal utilization of PAD sources, notably stemming from shifts in economic structures, tax capacity, and imposed retributions</w:t>
      </w:r>
      <w:r>
        <w:rPr>
          <w:i/>
        </w:rPr>
        <w:t xml:space="preserve">. </w:t>
      </w:r>
      <w:r>
        <w:rPr>
          <w:b/>
          <w:i/>
        </w:rPr>
        <w:t xml:space="preserve">Purpose: </w:t>
      </w:r>
      <w:r w:rsidR="004E3E34" w:rsidRPr="004E3E34">
        <w:rPr>
          <w:i/>
        </w:rPr>
        <w:t xml:space="preserve">This study aims to </w:t>
      </w:r>
      <w:proofErr w:type="spellStart"/>
      <w:r w:rsidR="004E3E34" w:rsidRPr="004E3E34">
        <w:rPr>
          <w:i/>
        </w:rPr>
        <w:t>analyze</w:t>
      </w:r>
      <w:proofErr w:type="spellEnd"/>
      <w:r w:rsidR="004E3E34" w:rsidRPr="004E3E34">
        <w:rPr>
          <w:i/>
        </w:rPr>
        <w:t xml:space="preserve"> the inequality of PAD potential between regencies and municipalities, which results in the ratio of PAD to Local Government Budget (APBD) in regencies being significantly different from municipalities.</w:t>
      </w:r>
      <w:r w:rsidR="004E3E34">
        <w:rPr>
          <w:i/>
        </w:rPr>
        <w:t xml:space="preserve"> </w:t>
      </w:r>
      <w:r>
        <w:rPr>
          <w:b/>
          <w:i/>
        </w:rPr>
        <w:t xml:space="preserve">Method: </w:t>
      </w:r>
      <w:r w:rsidR="004E3E34" w:rsidRPr="004E3E34">
        <w:rPr>
          <w:i/>
        </w:rPr>
        <w:t xml:space="preserve">This study aims to unveil the nuanced intricacies of PAD potential disparities by employing a mixed method approach encompassing descriptive quantitative and qualitative analyses to capture comprehensive analysis. Data collected from scientific papers and secondary data which used content validation to control relevancy of different data sources. </w:t>
      </w:r>
      <w:r>
        <w:rPr>
          <w:b/>
          <w:i/>
        </w:rPr>
        <w:t>Result:</w:t>
      </w:r>
      <w:r>
        <w:rPr>
          <w:i/>
        </w:rPr>
        <w:t xml:space="preserve"> </w:t>
      </w:r>
      <w:r w:rsidR="004E3E34" w:rsidRPr="004E3E34">
        <w:rPr>
          <w:i/>
        </w:rPr>
        <w:t>The results show that regency governments have different characteristics from municipal governments regarding geographical landscape, economic structures, and population. These differences affect the local revenue potential, which should be managed differently from municipal fiscal policy</w:t>
      </w:r>
      <w:r>
        <w:rPr>
          <w:i/>
        </w:rPr>
        <w:t xml:space="preserve">. </w:t>
      </w:r>
      <w:r>
        <w:rPr>
          <w:b/>
          <w:i/>
        </w:rPr>
        <w:t>Conclusion:</w:t>
      </w:r>
      <w:r>
        <w:rPr>
          <w:i/>
        </w:rPr>
        <w:t xml:space="preserve"> </w:t>
      </w:r>
      <w:r w:rsidR="004E3E34" w:rsidRPr="004E3E34">
        <w:rPr>
          <w:i/>
        </w:rPr>
        <w:t xml:space="preserve">The disparity in Public Agency Revenue (PAD) between the two entities is attributed to the national government’s failure to address the revenue-raising capabilities of regency governments adequately. Although local taxes are diverse, only a limited number are reliable local revenue sources. The f </w:t>
      </w:r>
      <w:proofErr w:type="spellStart"/>
      <w:r w:rsidR="004E3E34" w:rsidRPr="004E3E34">
        <w:rPr>
          <w:i/>
        </w:rPr>
        <w:t>ield</w:t>
      </w:r>
      <w:proofErr w:type="spellEnd"/>
      <w:r w:rsidR="004E3E34" w:rsidRPr="004E3E34">
        <w:rPr>
          <w:i/>
        </w:rPr>
        <w:t xml:space="preserve"> of taxation is characterized by a high degree of centralization, as the central authority collects all major and most productive types of taxes, including both direct and indirect taxes. The symmetric decentralization policy between regencies and cities progressively limits the capacity of district governments to enhance local revenue</w:t>
      </w:r>
      <w:r>
        <w:rPr>
          <w:i/>
        </w:rPr>
        <w:t xml:space="preserve">.  </w:t>
      </w:r>
    </w:p>
    <w:p w14:paraId="6E368029" w14:textId="4357A508" w:rsidR="00F07020" w:rsidRDefault="00000000">
      <w:pPr>
        <w:spacing w:after="10" w:line="249" w:lineRule="auto"/>
        <w:ind w:left="-5" w:right="0" w:hanging="10"/>
      </w:pPr>
      <w:r>
        <w:rPr>
          <w:b/>
          <w:i/>
        </w:rPr>
        <w:t>Keywords:</w:t>
      </w:r>
      <w:r>
        <w:rPr>
          <w:i/>
        </w:rPr>
        <w:t xml:space="preserve"> </w:t>
      </w:r>
      <w:r w:rsidR="004E3E34" w:rsidRPr="004E3E34">
        <w:rPr>
          <w:i/>
        </w:rPr>
        <w:t>Local Own-Source Revenue; Potential Sources of Regional Revenue; Fiscal Decentralization</w:t>
      </w:r>
      <w:r>
        <w:rPr>
          <w:i/>
        </w:rPr>
        <w:t xml:space="preserve"> </w:t>
      </w:r>
    </w:p>
    <w:p w14:paraId="3BDF8867" w14:textId="77777777" w:rsidR="00F07020" w:rsidRDefault="00000000">
      <w:pPr>
        <w:spacing w:line="259" w:lineRule="auto"/>
        <w:ind w:right="0" w:firstLine="0"/>
        <w:jc w:val="left"/>
      </w:pPr>
      <w:r>
        <w:t xml:space="preserve"> </w:t>
      </w:r>
    </w:p>
    <w:p w14:paraId="09809ED4" w14:textId="77777777" w:rsidR="00F07020" w:rsidRDefault="00000000">
      <w:pPr>
        <w:spacing w:line="259" w:lineRule="auto"/>
        <w:ind w:left="57" w:right="0" w:firstLine="0"/>
        <w:jc w:val="center"/>
      </w:pPr>
      <w:r>
        <w:t xml:space="preserve"> </w:t>
      </w:r>
    </w:p>
    <w:p w14:paraId="2659E277" w14:textId="543D3957" w:rsidR="00F07020" w:rsidRDefault="00000000">
      <w:pPr>
        <w:spacing w:line="259" w:lineRule="auto"/>
        <w:ind w:left="10" w:right="3" w:hanging="10"/>
        <w:jc w:val="center"/>
      </w:pPr>
      <w:r>
        <w:rPr>
          <w:b/>
        </w:rPr>
        <w:t xml:space="preserve">ABSTRAK </w:t>
      </w:r>
    </w:p>
    <w:p w14:paraId="6151B297" w14:textId="77777777" w:rsidR="00F07020" w:rsidRDefault="00000000">
      <w:pPr>
        <w:spacing w:line="259" w:lineRule="auto"/>
        <w:ind w:right="0" w:firstLine="0"/>
        <w:jc w:val="left"/>
      </w:pPr>
      <w:r>
        <w:t xml:space="preserve"> </w:t>
      </w:r>
    </w:p>
    <w:p w14:paraId="163D3003" w14:textId="5989FEA6" w:rsidR="00F07020" w:rsidRDefault="00000000">
      <w:pPr>
        <w:ind w:left="-11" w:right="0" w:hanging="2"/>
      </w:pPr>
      <w:proofErr w:type="spellStart"/>
      <w:r>
        <w:rPr>
          <w:b/>
        </w:rPr>
        <w:t>Permasalahan</w:t>
      </w:r>
      <w:proofErr w:type="spellEnd"/>
      <w:r>
        <w:rPr>
          <w:b/>
        </w:rPr>
        <w:t xml:space="preserve">/Latar </w:t>
      </w:r>
      <w:proofErr w:type="spellStart"/>
      <w:r>
        <w:rPr>
          <w:b/>
        </w:rPr>
        <w:t>Belakang</w:t>
      </w:r>
      <w:proofErr w:type="spellEnd"/>
      <w:r>
        <w:rPr>
          <w:b/>
        </w:rPr>
        <w:t xml:space="preserve"> (GAP): </w:t>
      </w:r>
      <w:r w:rsidR="001D79A1" w:rsidRPr="001D79A1">
        <w:t xml:space="preserve">Salah </w:t>
      </w:r>
      <w:proofErr w:type="spellStart"/>
      <w:r w:rsidR="001D79A1" w:rsidRPr="001D79A1">
        <w:t>satu</w:t>
      </w:r>
      <w:proofErr w:type="spellEnd"/>
      <w:r w:rsidR="001D79A1" w:rsidRPr="001D79A1">
        <w:t xml:space="preserve"> </w:t>
      </w:r>
      <w:proofErr w:type="spellStart"/>
      <w:r w:rsidR="001D79A1" w:rsidRPr="001D79A1">
        <w:t>faktor</w:t>
      </w:r>
      <w:proofErr w:type="spellEnd"/>
      <w:r w:rsidR="001D79A1" w:rsidRPr="001D79A1">
        <w:t xml:space="preserve"> yang </w:t>
      </w:r>
      <w:proofErr w:type="spellStart"/>
      <w:r w:rsidR="001D79A1" w:rsidRPr="001D79A1">
        <w:t>mendasari</w:t>
      </w:r>
      <w:proofErr w:type="spellEnd"/>
      <w:r w:rsidR="001D79A1" w:rsidRPr="001D79A1">
        <w:t xml:space="preserve"> </w:t>
      </w:r>
      <w:proofErr w:type="spellStart"/>
      <w:r w:rsidR="001D79A1" w:rsidRPr="001D79A1">
        <w:t>rendahnya</w:t>
      </w:r>
      <w:proofErr w:type="spellEnd"/>
      <w:r w:rsidR="001D79A1" w:rsidRPr="001D79A1">
        <w:t xml:space="preserve"> </w:t>
      </w:r>
      <w:proofErr w:type="spellStart"/>
      <w:r w:rsidR="001D79A1" w:rsidRPr="001D79A1">
        <w:t>penerimaan</w:t>
      </w:r>
      <w:proofErr w:type="spellEnd"/>
      <w:r w:rsidR="001D79A1" w:rsidRPr="001D79A1">
        <w:t xml:space="preserve"> </w:t>
      </w:r>
      <w:proofErr w:type="spellStart"/>
      <w:r w:rsidR="001D79A1" w:rsidRPr="001D79A1">
        <w:t>Pendapatan</w:t>
      </w:r>
      <w:proofErr w:type="spellEnd"/>
      <w:r w:rsidR="001D79A1" w:rsidRPr="001D79A1">
        <w:t xml:space="preserve"> Asli Daerah (PAD) </w:t>
      </w:r>
      <w:proofErr w:type="spellStart"/>
      <w:r w:rsidR="001D79A1" w:rsidRPr="001D79A1">
        <w:t>adalah</w:t>
      </w:r>
      <w:proofErr w:type="spellEnd"/>
      <w:r w:rsidR="001D79A1" w:rsidRPr="001D79A1">
        <w:t xml:space="preserve"> </w:t>
      </w:r>
      <w:proofErr w:type="spellStart"/>
      <w:r w:rsidR="001D79A1" w:rsidRPr="001D79A1">
        <w:t>belum</w:t>
      </w:r>
      <w:proofErr w:type="spellEnd"/>
      <w:r w:rsidR="001D79A1" w:rsidRPr="001D79A1">
        <w:t xml:space="preserve"> </w:t>
      </w:r>
      <w:proofErr w:type="spellStart"/>
      <w:r w:rsidR="001D79A1" w:rsidRPr="001D79A1">
        <w:t>optimalnya</w:t>
      </w:r>
      <w:proofErr w:type="spellEnd"/>
      <w:r w:rsidR="001D79A1" w:rsidRPr="001D79A1">
        <w:t xml:space="preserve"> </w:t>
      </w:r>
      <w:proofErr w:type="spellStart"/>
      <w:r w:rsidR="001D79A1" w:rsidRPr="001D79A1">
        <w:t>pemanfaatan</w:t>
      </w:r>
      <w:proofErr w:type="spellEnd"/>
      <w:r w:rsidR="001D79A1" w:rsidRPr="001D79A1">
        <w:t xml:space="preserve"> </w:t>
      </w:r>
      <w:proofErr w:type="spellStart"/>
      <w:r w:rsidR="001D79A1" w:rsidRPr="001D79A1">
        <w:t>sumber-sumber</w:t>
      </w:r>
      <w:proofErr w:type="spellEnd"/>
      <w:r w:rsidR="001D79A1" w:rsidRPr="001D79A1">
        <w:t xml:space="preserve"> PAD, </w:t>
      </w:r>
      <w:proofErr w:type="spellStart"/>
      <w:r w:rsidR="001D79A1" w:rsidRPr="001D79A1">
        <w:t>terutama</w:t>
      </w:r>
      <w:proofErr w:type="spellEnd"/>
      <w:r w:rsidR="001D79A1" w:rsidRPr="001D79A1">
        <w:t xml:space="preserve"> </w:t>
      </w:r>
      <w:r w:rsidR="001D79A1" w:rsidRPr="001D79A1">
        <w:lastRenderedPageBreak/>
        <w:t xml:space="preserve">yang </w:t>
      </w:r>
      <w:proofErr w:type="spellStart"/>
      <w:r w:rsidR="001D79A1" w:rsidRPr="001D79A1">
        <w:t>bersumber</w:t>
      </w:r>
      <w:proofErr w:type="spellEnd"/>
      <w:r w:rsidR="001D79A1" w:rsidRPr="001D79A1">
        <w:t xml:space="preserve"> </w:t>
      </w:r>
      <w:proofErr w:type="spellStart"/>
      <w:r w:rsidR="001D79A1" w:rsidRPr="001D79A1">
        <w:t>dari</w:t>
      </w:r>
      <w:proofErr w:type="spellEnd"/>
      <w:r w:rsidR="001D79A1" w:rsidRPr="001D79A1">
        <w:t xml:space="preserve"> </w:t>
      </w:r>
      <w:proofErr w:type="spellStart"/>
      <w:r w:rsidR="001D79A1" w:rsidRPr="001D79A1">
        <w:t>pergeseran</w:t>
      </w:r>
      <w:proofErr w:type="spellEnd"/>
      <w:r w:rsidR="001D79A1" w:rsidRPr="001D79A1">
        <w:t xml:space="preserve"> </w:t>
      </w:r>
      <w:proofErr w:type="spellStart"/>
      <w:r w:rsidR="001D79A1" w:rsidRPr="001D79A1">
        <w:t>struktur</w:t>
      </w:r>
      <w:proofErr w:type="spellEnd"/>
      <w:r w:rsidR="001D79A1" w:rsidRPr="001D79A1">
        <w:t xml:space="preserve"> </w:t>
      </w:r>
      <w:proofErr w:type="spellStart"/>
      <w:r w:rsidR="001D79A1" w:rsidRPr="001D79A1">
        <w:t>ekonomi</w:t>
      </w:r>
      <w:proofErr w:type="spellEnd"/>
      <w:r w:rsidR="001D79A1" w:rsidRPr="001D79A1">
        <w:t xml:space="preserve">, </w:t>
      </w:r>
      <w:proofErr w:type="spellStart"/>
      <w:r w:rsidR="001D79A1" w:rsidRPr="001D79A1">
        <w:t>kapasi</w:t>
      </w:r>
      <w:r w:rsidR="007458BA">
        <w:rPr>
          <w:noProof/>
        </w:rPr>
        <w:drawing>
          <wp:anchor distT="0" distB="0" distL="114300" distR="114300" simplePos="0" relativeHeight="251660288" behindDoc="1" locked="0" layoutInCell="1" allowOverlap="0" wp14:anchorId="1DFB04F1" wp14:editId="41F954D6">
            <wp:simplePos x="0" y="0"/>
            <wp:positionH relativeFrom="column">
              <wp:posOffset>0</wp:posOffset>
            </wp:positionH>
            <wp:positionV relativeFrom="paragraph">
              <wp:posOffset>-635</wp:posOffset>
            </wp:positionV>
            <wp:extent cx="6129020" cy="6129020"/>
            <wp:effectExtent l="0" t="0" r="0" b="0"/>
            <wp:wrapNone/>
            <wp:docPr id="1287760955" name="Picture 128776095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001D79A1" w:rsidRPr="001D79A1">
        <w:t>tas</w:t>
      </w:r>
      <w:proofErr w:type="spellEnd"/>
      <w:r w:rsidR="001D79A1" w:rsidRPr="001D79A1">
        <w:t xml:space="preserve"> </w:t>
      </w:r>
      <w:proofErr w:type="spellStart"/>
      <w:r w:rsidR="001D79A1" w:rsidRPr="001D79A1">
        <w:t>pajak</w:t>
      </w:r>
      <w:proofErr w:type="spellEnd"/>
      <w:r w:rsidR="001D79A1" w:rsidRPr="001D79A1">
        <w:t xml:space="preserve">, dan </w:t>
      </w:r>
      <w:proofErr w:type="spellStart"/>
      <w:r w:rsidR="001D79A1" w:rsidRPr="001D79A1">
        <w:t>retribusi</w:t>
      </w:r>
      <w:proofErr w:type="spellEnd"/>
      <w:r w:rsidR="001D79A1" w:rsidRPr="001D79A1">
        <w:t xml:space="preserve"> yang </w:t>
      </w:r>
      <w:proofErr w:type="spellStart"/>
      <w:r w:rsidR="001D79A1" w:rsidRPr="001D79A1">
        <w:t>dikenakan</w:t>
      </w:r>
      <w:proofErr w:type="spellEnd"/>
      <w:r>
        <w:t xml:space="preserve">.  </w:t>
      </w:r>
      <w:r>
        <w:rPr>
          <w:b/>
        </w:rPr>
        <w:t>Tujuan:</w:t>
      </w:r>
      <w:r>
        <w:t xml:space="preserve"> </w:t>
      </w:r>
      <w:proofErr w:type="spellStart"/>
      <w:r w:rsidR="001D79A1" w:rsidRPr="001D79A1">
        <w:t>Penelitian</w:t>
      </w:r>
      <w:proofErr w:type="spellEnd"/>
      <w:r w:rsidR="001D79A1" w:rsidRPr="001D79A1">
        <w:t xml:space="preserve"> </w:t>
      </w:r>
      <w:proofErr w:type="spellStart"/>
      <w:r w:rsidR="001D79A1" w:rsidRPr="001D79A1">
        <w:t>ini</w:t>
      </w:r>
      <w:proofErr w:type="spellEnd"/>
      <w:r w:rsidR="001D79A1" w:rsidRPr="001D79A1">
        <w:t xml:space="preserve"> </w:t>
      </w:r>
      <w:proofErr w:type="spellStart"/>
      <w:r w:rsidR="001D79A1" w:rsidRPr="001D79A1">
        <w:t>bertujuan</w:t>
      </w:r>
      <w:proofErr w:type="spellEnd"/>
      <w:r w:rsidR="001D79A1" w:rsidRPr="001D79A1">
        <w:t xml:space="preserve"> </w:t>
      </w:r>
      <w:proofErr w:type="spellStart"/>
      <w:r w:rsidR="001D79A1" w:rsidRPr="001D79A1">
        <w:t>untuk</w:t>
      </w:r>
      <w:proofErr w:type="spellEnd"/>
      <w:r w:rsidR="001D79A1" w:rsidRPr="001D79A1">
        <w:t xml:space="preserve"> </w:t>
      </w:r>
      <w:proofErr w:type="spellStart"/>
      <w:r w:rsidR="001D79A1" w:rsidRPr="001D79A1">
        <w:t>menganalisis</w:t>
      </w:r>
      <w:proofErr w:type="spellEnd"/>
      <w:r w:rsidR="001D79A1" w:rsidRPr="001D79A1">
        <w:t xml:space="preserve"> </w:t>
      </w:r>
      <w:proofErr w:type="spellStart"/>
      <w:r w:rsidR="001D79A1" w:rsidRPr="001D79A1">
        <w:t>ketimpangan</w:t>
      </w:r>
      <w:proofErr w:type="spellEnd"/>
      <w:r w:rsidR="001D79A1" w:rsidRPr="001D79A1">
        <w:t xml:space="preserve"> </w:t>
      </w:r>
      <w:proofErr w:type="spellStart"/>
      <w:r w:rsidR="001D79A1" w:rsidRPr="001D79A1">
        <w:t>potensi</w:t>
      </w:r>
      <w:proofErr w:type="spellEnd"/>
      <w:r w:rsidR="001D79A1" w:rsidRPr="001D79A1">
        <w:t xml:space="preserve"> PAD </w:t>
      </w:r>
      <w:proofErr w:type="spellStart"/>
      <w:r w:rsidR="001D79A1" w:rsidRPr="001D79A1">
        <w:t>antara</w:t>
      </w:r>
      <w:proofErr w:type="spellEnd"/>
      <w:r w:rsidR="001D79A1" w:rsidRPr="001D79A1">
        <w:t xml:space="preserve"> </w:t>
      </w:r>
      <w:proofErr w:type="spellStart"/>
      <w:r w:rsidR="001D79A1" w:rsidRPr="001D79A1">
        <w:t>kabupaten</w:t>
      </w:r>
      <w:proofErr w:type="spellEnd"/>
      <w:r w:rsidR="001D79A1" w:rsidRPr="001D79A1">
        <w:t xml:space="preserve"> dan </w:t>
      </w:r>
      <w:proofErr w:type="spellStart"/>
      <w:r w:rsidR="001D79A1" w:rsidRPr="001D79A1">
        <w:t>kota</w:t>
      </w:r>
      <w:proofErr w:type="spellEnd"/>
      <w:r w:rsidR="001D79A1" w:rsidRPr="001D79A1">
        <w:t xml:space="preserve">, yang </w:t>
      </w:r>
      <w:proofErr w:type="spellStart"/>
      <w:r w:rsidR="001D79A1" w:rsidRPr="001D79A1">
        <w:t>mengakibatkan</w:t>
      </w:r>
      <w:proofErr w:type="spellEnd"/>
      <w:r w:rsidR="001D79A1" w:rsidRPr="001D79A1">
        <w:t xml:space="preserve"> </w:t>
      </w:r>
      <w:proofErr w:type="spellStart"/>
      <w:r w:rsidR="001D79A1" w:rsidRPr="001D79A1">
        <w:t>rasio</w:t>
      </w:r>
      <w:proofErr w:type="spellEnd"/>
      <w:r w:rsidR="001D79A1" w:rsidRPr="001D79A1">
        <w:t xml:space="preserve"> PAD </w:t>
      </w:r>
      <w:proofErr w:type="spellStart"/>
      <w:r w:rsidR="001D79A1" w:rsidRPr="001D79A1">
        <w:t>terhadap</w:t>
      </w:r>
      <w:proofErr w:type="spellEnd"/>
      <w:r w:rsidR="001D79A1" w:rsidRPr="001D79A1">
        <w:t xml:space="preserve"> </w:t>
      </w:r>
      <w:proofErr w:type="spellStart"/>
      <w:r w:rsidR="001D79A1" w:rsidRPr="001D79A1">
        <w:t>Anggaran</w:t>
      </w:r>
      <w:proofErr w:type="spellEnd"/>
      <w:r w:rsidR="001D79A1" w:rsidRPr="001D79A1">
        <w:t xml:space="preserve"> </w:t>
      </w:r>
      <w:proofErr w:type="spellStart"/>
      <w:r w:rsidR="001D79A1" w:rsidRPr="001D79A1">
        <w:t>Pendapatan</w:t>
      </w:r>
      <w:proofErr w:type="spellEnd"/>
      <w:r w:rsidR="001D79A1" w:rsidRPr="001D79A1">
        <w:t xml:space="preserve"> dan </w:t>
      </w:r>
      <w:proofErr w:type="spellStart"/>
      <w:r w:rsidR="001D79A1" w:rsidRPr="001D79A1">
        <w:t>Belanja</w:t>
      </w:r>
      <w:proofErr w:type="spellEnd"/>
      <w:r w:rsidR="001D79A1" w:rsidRPr="001D79A1">
        <w:t xml:space="preserve"> Daerah (APBD) di </w:t>
      </w:r>
      <w:proofErr w:type="spellStart"/>
      <w:r w:rsidR="001D79A1" w:rsidRPr="001D79A1">
        <w:t>kabupaten</w:t>
      </w:r>
      <w:proofErr w:type="spellEnd"/>
      <w:r w:rsidR="001D79A1" w:rsidRPr="001D79A1">
        <w:t xml:space="preserve"> </w:t>
      </w:r>
      <w:proofErr w:type="spellStart"/>
      <w:r w:rsidR="001D79A1" w:rsidRPr="001D79A1">
        <w:t>berbeda</w:t>
      </w:r>
      <w:proofErr w:type="spellEnd"/>
      <w:r w:rsidR="001D79A1" w:rsidRPr="001D79A1">
        <w:t xml:space="preserve"> </w:t>
      </w:r>
      <w:proofErr w:type="spellStart"/>
      <w:r w:rsidR="001D79A1" w:rsidRPr="001D79A1">
        <w:t>secara</w:t>
      </w:r>
      <w:proofErr w:type="spellEnd"/>
      <w:r w:rsidR="001D79A1" w:rsidRPr="001D79A1">
        <w:t xml:space="preserve"> </w:t>
      </w:r>
      <w:proofErr w:type="spellStart"/>
      <w:r w:rsidR="001D79A1" w:rsidRPr="001D79A1">
        <w:t>signifikan</w:t>
      </w:r>
      <w:proofErr w:type="spellEnd"/>
      <w:r w:rsidR="001D79A1" w:rsidRPr="001D79A1">
        <w:t xml:space="preserve"> </w:t>
      </w:r>
      <w:proofErr w:type="spellStart"/>
      <w:r w:rsidR="001D79A1" w:rsidRPr="001D79A1">
        <w:t>dengan</w:t>
      </w:r>
      <w:proofErr w:type="spellEnd"/>
      <w:r w:rsidR="001D79A1" w:rsidRPr="001D79A1">
        <w:t xml:space="preserve"> </w:t>
      </w:r>
      <w:proofErr w:type="spellStart"/>
      <w:r w:rsidR="001D79A1" w:rsidRPr="001D79A1">
        <w:t>kota</w:t>
      </w:r>
      <w:proofErr w:type="spellEnd"/>
      <w:r>
        <w:t xml:space="preserve">. </w:t>
      </w:r>
      <w:r>
        <w:rPr>
          <w:b/>
        </w:rPr>
        <w:t>Metode:</w:t>
      </w:r>
      <w:r>
        <w:t xml:space="preserve"> </w:t>
      </w:r>
      <w:proofErr w:type="spellStart"/>
      <w:r w:rsidR="001D79A1" w:rsidRPr="001D79A1">
        <w:t>Penelitian</w:t>
      </w:r>
      <w:proofErr w:type="spellEnd"/>
      <w:r w:rsidR="001D79A1" w:rsidRPr="001D79A1">
        <w:t xml:space="preserve"> </w:t>
      </w:r>
      <w:proofErr w:type="spellStart"/>
      <w:r w:rsidR="001D79A1" w:rsidRPr="001D79A1">
        <w:t>ini</w:t>
      </w:r>
      <w:proofErr w:type="spellEnd"/>
      <w:r w:rsidR="001D79A1" w:rsidRPr="001D79A1">
        <w:t xml:space="preserve"> </w:t>
      </w:r>
      <w:proofErr w:type="spellStart"/>
      <w:r w:rsidR="001D79A1" w:rsidRPr="001D79A1">
        <w:t>bertujuan</w:t>
      </w:r>
      <w:proofErr w:type="spellEnd"/>
      <w:r w:rsidR="001D79A1" w:rsidRPr="001D79A1">
        <w:t xml:space="preserve"> </w:t>
      </w:r>
      <w:proofErr w:type="spellStart"/>
      <w:r w:rsidR="001D79A1" w:rsidRPr="001D79A1">
        <w:t>untuk</w:t>
      </w:r>
      <w:proofErr w:type="spellEnd"/>
      <w:r w:rsidR="001D79A1" w:rsidRPr="001D79A1">
        <w:t xml:space="preserve"> </w:t>
      </w:r>
      <w:proofErr w:type="spellStart"/>
      <w:r w:rsidR="001D79A1" w:rsidRPr="001D79A1">
        <w:t>mengungkap</w:t>
      </w:r>
      <w:proofErr w:type="spellEnd"/>
      <w:r w:rsidR="001D79A1" w:rsidRPr="001D79A1">
        <w:t xml:space="preserve"> </w:t>
      </w:r>
      <w:proofErr w:type="spellStart"/>
      <w:r w:rsidR="001D79A1" w:rsidRPr="001D79A1">
        <w:t>seluk-beluk</w:t>
      </w:r>
      <w:proofErr w:type="spellEnd"/>
      <w:r w:rsidR="001D79A1" w:rsidRPr="001D79A1">
        <w:t xml:space="preserve"> </w:t>
      </w:r>
      <w:proofErr w:type="spellStart"/>
      <w:r w:rsidR="001D79A1" w:rsidRPr="001D79A1">
        <w:t>perbedaan</w:t>
      </w:r>
      <w:proofErr w:type="spellEnd"/>
      <w:r w:rsidR="001D79A1" w:rsidRPr="001D79A1">
        <w:t xml:space="preserve"> </w:t>
      </w:r>
      <w:proofErr w:type="spellStart"/>
      <w:r w:rsidR="001D79A1" w:rsidRPr="001D79A1">
        <w:t>potensi</w:t>
      </w:r>
      <w:proofErr w:type="spellEnd"/>
      <w:r w:rsidR="001D79A1" w:rsidRPr="001D79A1">
        <w:t xml:space="preserve"> PAD </w:t>
      </w:r>
      <w:proofErr w:type="spellStart"/>
      <w:r w:rsidR="001D79A1" w:rsidRPr="001D79A1">
        <w:t>dengan</w:t>
      </w:r>
      <w:proofErr w:type="spellEnd"/>
      <w:r w:rsidR="001D79A1" w:rsidRPr="001D79A1">
        <w:t xml:space="preserve"> </w:t>
      </w:r>
      <w:proofErr w:type="spellStart"/>
      <w:r w:rsidR="001D79A1" w:rsidRPr="001D79A1">
        <w:t>menggunakan</w:t>
      </w:r>
      <w:proofErr w:type="spellEnd"/>
      <w:r w:rsidR="001D79A1" w:rsidRPr="001D79A1">
        <w:t xml:space="preserve"> </w:t>
      </w:r>
      <w:proofErr w:type="spellStart"/>
      <w:r w:rsidR="001D79A1" w:rsidRPr="001D79A1">
        <w:t>pendekatan</w:t>
      </w:r>
      <w:proofErr w:type="spellEnd"/>
      <w:r w:rsidR="001D79A1" w:rsidRPr="001D79A1">
        <w:t xml:space="preserve"> </w:t>
      </w:r>
      <w:proofErr w:type="spellStart"/>
      <w:r w:rsidR="001D79A1" w:rsidRPr="001D79A1">
        <w:t>metode</w:t>
      </w:r>
      <w:proofErr w:type="spellEnd"/>
      <w:r w:rsidR="001D79A1" w:rsidRPr="001D79A1">
        <w:t xml:space="preserve"> </w:t>
      </w:r>
      <w:proofErr w:type="spellStart"/>
      <w:r w:rsidR="001D79A1" w:rsidRPr="001D79A1">
        <w:t>campuran</w:t>
      </w:r>
      <w:proofErr w:type="spellEnd"/>
      <w:r w:rsidR="001D79A1" w:rsidRPr="001D79A1">
        <w:t xml:space="preserve"> yang </w:t>
      </w:r>
      <w:proofErr w:type="spellStart"/>
      <w:r w:rsidR="001D79A1" w:rsidRPr="001D79A1">
        <w:t>mencakup</w:t>
      </w:r>
      <w:proofErr w:type="spellEnd"/>
      <w:r w:rsidR="001D79A1" w:rsidRPr="001D79A1">
        <w:t xml:space="preserve"> </w:t>
      </w:r>
      <w:proofErr w:type="spellStart"/>
      <w:r w:rsidR="001D79A1" w:rsidRPr="001D79A1">
        <w:t>analisis</w:t>
      </w:r>
      <w:proofErr w:type="spellEnd"/>
      <w:r w:rsidR="001D79A1" w:rsidRPr="001D79A1">
        <w:t xml:space="preserve"> </w:t>
      </w:r>
      <w:proofErr w:type="spellStart"/>
      <w:r w:rsidR="001D79A1" w:rsidRPr="001D79A1">
        <w:t>deskriptif</w:t>
      </w:r>
      <w:proofErr w:type="spellEnd"/>
      <w:r w:rsidR="001D79A1" w:rsidRPr="001D79A1">
        <w:t xml:space="preserve"> </w:t>
      </w:r>
      <w:proofErr w:type="spellStart"/>
      <w:r w:rsidR="001D79A1" w:rsidRPr="001D79A1">
        <w:t>kuantitatif</w:t>
      </w:r>
      <w:proofErr w:type="spellEnd"/>
      <w:r w:rsidR="001D79A1" w:rsidRPr="001D79A1">
        <w:t xml:space="preserve"> dan </w:t>
      </w:r>
      <w:proofErr w:type="spellStart"/>
      <w:r w:rsidR="001D79A1" w:rsidRPr="001D79A1">
        <w:t>kualitatif</w:t>
      </w:r>
      <w:proofErr w:type="spellEnd"/>
      <w:r w:rsidR="001D79A1" w:rsidRPr="001D79A1">
        <w:t xml:space="preserve"> </w:t>
      </w:r>
      <w:proofErr w:type="spellStart"/>
      <w:r w:rsidR="001D79A1" w:rsidRPr="001D79A1">
        <w:t>untuk</w:t>
      </w:r>
      <w:proofErr w:type="spellEnd"/>
      <w:r w:rsidR="001D79A1" w:rsidRPr="001D79A1">
        <w:t xml:space="preserve"> </w:t>
      </w:r>
      <w:proofErr w:type="spellStart"/>
      <w:r w:rsidR="001D79A1" w:rsidRPr="001D79A1">
        <w:t>mendapatkan</w:t>
      </w:r>
      <w:proofErr w:type="spellEnd"/>
      <w:r w:rsidR="001D79A1" w:rsidRPr="001D79A1">
        <w:t xml:space="preserve"> </w:t>
      </w:r>
      <w:proofErr w:type="spellStart"/>
      <w:r w:rsidR="001D79A1" w:rsidRPr="001D79A1">
        <w:t>analisis</w:t>
      </w:r>
      <w:proofErr w:type="spellEnd"/>
      <w:r w:rsidR="001D79A1" w:rsidRPr="001D79A1">
        <w:t xml:space="preserve"> yang </w:t>
      </w:r>
      <w:proofErr w:type="spellStart"/>
      <w:r w:rsidR="001D79A1" w:rsidRPr="001D79A1">
        <w:t>komprehensif</w:t>
      </w:r>
      <w:proofErr w:type="spellEnd"/>
      <w:r w:rsidR="001D79A1" w:rsidRPr="001D79A1">
        <w:t xml:space="preserve">. Data </w:t>
      </w:r>
      <w:proofErr w:type="spellStart"/>
      <w:r w:rsidR="001D79A1" w:rsidRPr="001D79A1">
        <w:t>dikumpulkan</w:t>
      </w:r>
      <w:proofErr w:type="spellEnd"/>
      <w:r w:rsidR="001D79A1" w:rsidRPr="001D79A1">
        <w:t xml:space="preserve"> </w:t>
      </w:r>
      <w:proofErr w:type="spellStart"/>
      <w:r w:rsidR="001D79A1" w:rsidRPr="001D79A1">
        <w:t>dari</w:t>
      </w:r>
      <w:proofErr w:type="spellEnd"/>
      <w:r w:rsidR="001D79A1" w:rsidRPr="001D79A1">
        <w:t xml:space="preserve"> </w:t>
      </w:r>
      <w:proofErr w:type="spellStart"/>
      <w:r w:rsidR="001D79A1" w:rsidRPr="001D79A1">
        <w:t>karya</w:t>
      </w:r>
      <w:proofErr w:type="spellEnd"/>
      <w:r w:rsidR="001D79A1" w:rsidRPr="001D79A1">
        <w:t xml:space="preserve"> </w:t>
      </w:r>
      <w:proofErr w:type="spellStart"/>
      <w:r w:rsidR="001D79A1" w:rsidRPr="001D79A1">
        <w:t>ilmiah</w:t>
      </w:r>
      <w:proofErr w:type="spellEnd"/>
      <w:r w:rsidR="001D79A1" w:rsidRPr="001D79A1">
        <w:t xml:space="preserve"> dan data </w:t>
      </w:r>
      <w:proofErr w:type="spellStart"/>
      <w:r w:rsidR="001D79A1" w:rsidRPr="001D79A1">
        <w:t>sekunder</w:t>
      </w:r>
      <w:proofErr w:type="spellEnd"/>
      <w:r w:rsidR="001D79A1" w:rsidRPr="001D79A1">
        <w:t xml:space="preserve"> yang </w:t>
      </w:r>
      <w:proofErr w:type="spellStart"/>
      <w:r w:rsidR="001D79A1" w:rsidRPr="001D79A1">
        <w:t>menggunakan</w:t>
      </w:r>
      <w:proofErr w:type="spellEnd"/>
      <w:r w:rsidR="001D79A1" w:rsidRPr="001D79A1">
        <w:t xml:space="preserve"> </w:t>
      </w:r>
      <w:proofErr w:type="spellStart"/>
      <w:r w:rsidR="001D79A1" w:rsidRPr="001D79A1">
        <w:t>validasi</w:t>
      </w:r>
      <w:proofErr w:type="spellEnd"/>
      <w:r w:rsidR="001D79A1" w:rsidRPr="001D79A1">
        <w:t xml:space="preserve"> </w:t>
      </w:r>
      <w:proofErr w:type="spellStart"/>
      <w:r w:rsidR="001D79A1" w:rsidRPr="001D79A1">
        <w:t>konten</w:t>
      </w:r>
      <w:proofErr w:type="spellEnd"/>
      <w:r w:rsidR="001D79A1" w:rsidRPr="001D79A1">
        <w:t xml:space="preserve"> </w:t>
      </w:r>
      <w:proofErr w:type="spellStart"/>
      <w:r w:rsidR="001D79A1" w:rsidRPr="001D79A1">
        <w:t>untuk</w:t>
      </w:r>
      <w:proofErr w:type="spellEnd"/>
      <w:r w:rsidR="001D79A1" w:rsidRPr="001D79A1">
        <w:t xml:space="preserve"> </w:t>
      </w:r>
      <w:proofErr w:type="spellStart"/>
      <w:r w:rsidR="001D79A1" w:rsidRPr="001D79A1">
        <w:t>mengontrol</w:t>
      </w:r>
      <w:proofErr w:type="spellEnd"/>
      <w:r w:rsidR="001D79A1" w:rsidRPr="001D79A1">
        <w:t xml:space="preserve"> </w:t>
      </w:r>
      <w:proofErr w:type="spellStart"/>
      <w:r w:rsidR="001D79A1" w:rsidRPr="001D79A1">
        <w:t>relevansi</w:t>
      </w:r>
      <w:proofErr w:type="spellEnd"/>
      <w:r w:rsidR="001D79A1" w:rsidRPr="001D79A1">
        <w:t xml:space="preserve"> </w:t>
      </w:r>
      <w:proofErr w:type="spellStart"/>
      <w:r w:rsidR="001D79A1" w:rsidRPr="001D79A1">
        <w:t>dari</w:t>
      </w:r>
      <w:proofErr w:type="spellEnd"/>
      <w:r w:rsidR="001D79A1" w:rsidRPr="001D79A1">
        <w:t xml:space="preserve"> </w:t>
      </w:r>
      <w:proofErr w:type="spellStart"/>
      <w:r w:rsidR="001D79A1" w:rsidRPr="001D79A1">
        <w:t>berbagai</w:t>
      </w:r>
      <w:proofErr w:type="spellEnd"/>
      <w:r w:rsidR="001D79A1" w:rsidRPr="001D79A1">
        <w:t xml:space="preserve"> </w:t>
      </w:r>
      <w:proofErr w:type="spellStart"/>
      <w:r w:rsidR="001D79A1" w:rsidRPr="001D79A1">
        <w:t>sumber</w:t>
      </w:r>
      <w:proofErr w:type="spellEnd"/>
      <w:r w:rsidR="001D79A1" w:rsidRPr="001D79A1">
        <w:t xml:space="preserve"> data.</w:t>
      </w:r>
      <w:r w:rsidR="001D79A1">
        <w:t xml:space="preserve"> </w:t>
      </w:r>
      <w:r>
        <w:rPr>
          <w:b/>
        </w:rPr>
        <w:t>Hasil/</w:t>
      </w:r>
      <w:proofErr w:type="spellStart"/>
      <w:r>
        <w:rPr>
          <w:b/>
        </w:rPr>
        <w:t>Temuan</w:t>
      </w:r>
      <w:proofErr w:type="spellEnd"/>
      <w:r>
        <w:rPr>
          <w:b/>
        </w:rPr>
        <w:t>:</w:t>
      </w:r>
      <w:r>
        <w:t xml:space="preserve"> </w:t>
      </w:r>
      <w:r w:rsidR="001D79A1" w:rsidRPr="001D79A1">
        <w:t xml:space="preserve">Hasil </w:t>
      </w:r>
      <w:proofErr w:type="spellStart"/>
      <w:r w:rsidR="001D79A1" w:rsidRPr="001D79A1">
        <w:t>penelitian</w:t>
      </w:r>
      <w:proofErr w:type="spellEnd"/>
      <w:r w:rsidR="001D79A1" w:rsidRPr="001D79A1">
        <w:t xml:space="preserve"> </w:t>
      </w:r>
      <w:proofErr w:type="spellStart"/>
      <w:r w:rsidR="001D79A1" w:rsidRPr="001D79A1">
        <w:t>menunjukkan</w:t>
      </w:r>
      <w:proofErr w:type="spellEnd"/>
      <w:r w:rsidR="001D79A1" w:rsidRPr="001D79A1">
        <w:t xml:space="preserve"> </w:t>
      </w:r>
      <w:proofErr w:type="spellStart"/>
      <w:r w:rsidR="001D79A1" w:rsidRPr="001D79A1">
        <w:t>bahwa</w:t>
      </w:r>
      <w:proofErr w:type="spellEnd"/>
      <w:r w:rsidR="001D79A1" w:rsidRPr="001D79A1">
        <w:t xml:space="preserve"> </w:t>
      </w:r>
      <w:proofErr w:type="spellStart"/>
      <w:r w:rsidR="001D79A1" w:rsidRPr="001D79A1">
        <w:t>pemerintah</w:t>
      </w:r>
      <w:proofErr w:type="spellEnd"/>
      <w:r w:rsidR="001D79A1" w:rsidRPr="001D79A1">
        <w:t xml:space="preserve"> </w:t>
      </w:r>
      <w:proofErr w:type="spellStart"/>
      <w:r w:rsidR="001D79A1" w:rsidRPr="001D79A1">
        <w:t>kabupaten</w:t>
      </w:r>
      <w:proofErr w:type="spellEnd"/>
      <w:r w:rsidR="001D79A1" w:rsidRPr="001D79A1">
        <w:t xml:space="preserve"> </w:t>
      </w:r>
      <w:proofErr w:type="spellStart"/>
      <w:r w:rsidR="001D79A1" w:rsidRPr="001D79A1">
        <w:t>memiliki</w:t>
      </w:r>
      <w:proofErr w:type="spellEnd"/>
      <w:r w:rsidR="001D79A1" w:rsidRPr="001D79A1">
        <w:t xml:space="preserve"> </w:t>
      </w:r>
      <w:proofErr w:type="spellStart"/>
      <w:r w:rsidR="001D79A1" w:rsidRPr="001D79A1">
        <w:t>karakteristik</w:t>
      </w:r>
      <w:proofErr w:type="spellEnd"/>
      <w:r w:rsidR="001D79A1" w:rsidRPr="001D79A1">
        <w:t xml:space="preserve"> yang </w:t>
      </w:r>
      <w:proofErr w:type="spellStart"/>
      <w:r w:rsidR="001D79A1" w:rsidRPr="001D79A1">
        <w:t>berbeda</w:t>
      </w:r>
      <w:proofErr w:type="spellEnd"/>
      <w:r w:rsidR="001D79A1" w:rsidRPr="001D79A1">
        <w:t xml:space="preserve"> </w:t>
      </w:r>
      <w:proofErr w:type="spellStart"/>
      <w:r w:rsidR="001D79A1" w:rsidRPr="001D79A1">
        <w:t>dengan</w:t>
      </w:r>
      <w:proofErr w:type="spellEnd"/>
      <w:r w:rsidR="001D79A1" w:rsidRPr="001D79A1">
        <w:t xml:space="preserve"> </w:t>
      </w:r>
      <w:proofErr w:type="spellStart"/>
      <w:r w:rsidR="001D79A1" w:rsidRPr="001D79A1">
        <w:t>pemerintah</w:t>
      </w:r>
      <w:proofErr w:type="spellEnd"/>
      <w:r w:rsidR="001D79A1" w:rsidRPr="001D79A1">
        <w:t xml:space="preserve"> </w:t>
      </w:r>
      <w:proofErr w:type="spellStart"/>
      <w:r w:rsidR="001D79A1" w:rsidRPr="001D79A1">
        <w:t>kota</w:t>
      </w:r>
      <w:proofErr w:type="spellEnd"/>
      <w:r w:rsidR="001D79A1" w:rsidRPr="001D79A1">
        <w:t xml:space="preserve"> </w:t>
      </w:r>
      <w:proofErr w:type="spellStart"/>
      <w:r w:rsidR="001D79A1" w:rsidRPr="001D79A1">
        <w:t>dalam</w:t>
      </w:r>
      <w:proofErr w:type="spellEnd"/>
      <w:r w:rsidR="001D79A1" w:rsidRPr="001D79A1">
        <w:t xml:space="preserve"> </w:t>
      </w:r>
      <w:proofErr w:type="spellStart"/>
      <w:r w:rsidR="001D79A1" w:rsidRPr="001D79A1">
        <w:t>hal</w:t>
      </w:r>
      <w:proofErr w:type="spellEnd"/>
      <w:r w:rsidR="001D79A1" w:rsidRPr="001D79A1">
        <w:t xml:space="preserve"> </w:t>
      </w:r>
      <w:proofErr w:type="spellStart"/>
      <w:r w:rsidR="001D79A1" w:rsidRPr="001D79A1">
        <w:t>lanskap</w:t>
      </w:r>
      <w:proofErr w:type="spellEnd"/>
      <w:r w:rsidR="001D79A1" w:rsidRPr="001D79A1">
        <w:t xml:space="preserve"> </w:t>
      </w:r>
      <w:proofErr w:type="spellStart"/>
      <w:r w:rsidR="001D79A1" w:rsidRPr="001D79A1">
        <w:t>geografis</w:t>
      </w:r>
      <w:proofErr w:type="spellEnd"/>
      <w:r w:rsidR="001D79A1" w:rsidRPr="001D79A1">
        <w:t xml:space="preserve">, </w:t>
      </w:r>
      <w:proofErr w:type="spellStart"/>
      <w:r w:rsidR="001D79A1" w:rsidRPr="001D79A1">
        <w:t>struktur</w:t>
      </w:r>
      <w:proofErr w:type="spellEnd"/>
      <w:r w:rsidR="001D79A1" w:rsidRPr="001D79A1">
        <w:t xml:space="preserve"> </w:t>
      </w:r>
      <w:proofErr w:type="spellStart"/>
      <w:r w:rsidR="001D79A1" w:rsidRPr="001D79A1">
        <w:t>ekonomi</w:t>
      </w:r>
      <w:proofErr w:type="spellEnd"/>
      <w:r w:rsidR="001D79A1" w:rsidRPr="001D79A1">
        <w:t xml:space="preserve">, dan </w:t>
      </w:r>
      <w:proofErr w:type="spellStart"/>
      <w:r w:rsidR="001D79A1" w:rsidRPr="001D79A1">
        <w:t>populasi</w:t>
      </w:r>
      <w:proofErr w:type="spellEnd"/>
      <w:r w:rsidR="001D79A1" w:rsidRPr="001D79A1">
        <w:t xml:space="preserve">. </w:t>
      </w:r>
      <w:proofErr w:type="spellStart"/>
      <w:r w:rsidR="001D79A1" w:rsidRPr="001D79A1">
        <w:t>Perbedaan-perbedaan</w:t>
      </w:r>
      <w:proofErr w:type="spellEnd"/>
      <w:r w:rsidR="001D79A1" w:rsidRPr="001D79A1">
        <w:t xml:space="preserve"> </w:t>
      </w:r>
      <w:proofErr w:type="spellStart"/>
      <w:r w:rsidR="001D79A1" w:rsidRPr="001D79A1">
        <w:t>ini</w:t>
      </w:r>
      <w:proofErr w:type="spellEnd"/>
      <w:r w:rsidR="001D79A1" w:rsidRPr="001D79A1">
        <w:t xml:space="preserve"> </w:t>
      </w:r>
      <w:proofErr w:type="spellStart"/>
      <w:r w:rsidR="001D79A1" w:rsidRPr="001D79A1">
        <w:t>mempengaruhi</w:t>
      </w:r>
      <w:proofErr w:type="spellEnd"/>
      <w:r w:rsidR="001D79A1" w:rsidRPr="001D79A1">
        <w:t xml:space="preserve"> </w:t>
      </w:r>
      <w:proofErr w:type="spellStart"/>
      <w:r w:rsidR="001D79A1" w:rsidRPr="001D79A1">
        <w:t>potensi</w:t>
      </w:r>
      <w:proofErr w:type="spellEnd"/>
      <w:r w:rsidR="001D79A1" w:rsidRPr="001D79A1">
        <w:t xml:space="preserve"> </w:t>
      </w:r>
      <w:proofErr w:type="spellStart"/>
      <w:r w:rsidR="001D79A1" w:rsidRPr="001D79A1">
        <w:t>pendapatan</w:t>
      </w:r>
      <w:proofErr w:type="spellEnd"/>
      <w:r w:rsidR="001D79A1" w:rsidRPr="001D79A1">
        <w:t xml:space="preserve"> </w:t>
      </w:r>
      <w:proofErr w:type="spellStart"/>
      <w:r w:rsidR="001D79A1" w:rsidRPr="001D79A1">
        <w:t>asli</w:t>
      </w:r>
      <w:proofErr w:type="spellEnd"/>
      <w:r w:rsidR="001D79A1" w:rsidRPr="001D79A1">
        <w:t xml:space="preserve"> </w:t>
      </w:r>
      <w:proofErr w:type="spellStart"/>
      <w:r w:rsidR="001D79A1" w:rsidRPr="001D79A1">
        <w:t>daerah</w:t>
      </w:r>
      <w:proofErr w:type="spellEnd"/>
      <w:r w:rsidR="001D79A1" w:rsidRPr="001D79A1">
        <w:t xml:space="preserve"> yang </w:t>
      </w:r>
      <w:proofErr w:type="spellStart"/>
      <w:r w:rsidR="001D79A1" w:rsidRPr="001D79A1">
        <w:t>harus</w:t>
      </w:r>
      <w:proofErr w:type="spellEnd"/>
      <w:r w:rsidR="001D79A1" w:rsidRPr="001D79A1">
        <w:t xml:space="preserve"> </w:t>
      </w:r>
      <w:proofErr w:type="spellStart"/>
      <w:r w:rsidR="001D79A1" w:rsidRPr="001D79A1">
        <w:t>dikelola</w:t>
      </w:r>
      <w:proofErr w:type="spellEnd"/>
      <w:r w:rsidR="001D79A1" w:rsidRPr="001D79A1">
        <w:t xml:space="preserve"> </w:t>
      </w:r>
      <w:proofErr w:type="spellStart"/>
      <w:r w:rsidR="001D79A1" w:rsidRPr="001D79A1">
        <w:t>secara</w:t>
      </w:r>
      <w:proofErr w:type="spellEnd"/>
      <w:r w:rsidR="001D79A1" w:rsidRPr="001D79A1">
        <w:t xml:space="preserve"> </w:t>
      </w:r>
      <w:proofErr w:type="spellStart"/>
      <w:r w:rsidR="001D79A1" w:rsidRPr="001D79A1">
        <w:t>berbeda</w:t>
      </w:r>
      <w:proofErr w:type="spellEnd"/>
      <w:r w:rsidR="001D79A1" w:rsidRPr="001D79A1">
        <w:t xml:space="preserve"> </w:t>
      </w:r>
      <w:proofErr w:type="spellStart"/>
      <w:r w:rsidR="001D79A1" w:rsidRPr="001D79A1">
        <w:t>dengan</w:t>
      </w:r>
      <w:proofErr w:type="spellEnd"/>
      <w:r w:rsidR="001D79A1" w:rsidRPr="001D79A1">
        <w:t xml:space="preserve"> </w:t>
      </w:r>
      <w:proofErr w:type="spellStart"/>
      <w:r w:rsidR="001D79A1" w:rsidRPr="001D79A1">
        <w:t>kebijakan</w:t>
      </w:r>
      <w:proofErr w:type="spellEnd"/>
      <w:r w:rsidR="001D79A1" w:rsidRPr="001D79A1">
        <w:t xml:space="preserve"> </w:t>
      </w:r>
      <w:proofErr w:type="spellStart"/>
      <w:r w:rsidR="001D79A1" w:rsidRPr="001D79A1">
        <w:t>fiskal</w:t>
      </w:r>
      <w:proofErr w:type="spellEnd"/>
      <w:r w:rsidR="001D79A1" w:rsidRPr="001D79A1">
        <w:t xml:space="preserve"> </w:t>
      </w:r>
      <w:proofErr w:type="spellStart"/>
      <w:r w:rsidR="001D79A1" w:rsidRPr="001D79A1">
        <w:t>kota</w:t>
      </w:r>
      <w:proofErr w:type="spellEnd"/>
      <w:r w:rsidR="001D79A1" w:rsidRPr="001D79A1">
        <w:t>.</w:t>
      </w:r>
      <w:r w:rsidR="001D79A1">
        <w:t xml:space="preserve"> </w:t>
      </w:r>
      <w:r>
        <w:rPr>
          <w:b/>
        </w:rPr>
        <w:t>Kesimpulan:</w:t>
      </w:r>
      <w:r>
        <w:t xml:space="preserve"> </w:t>
      </w:r>
      <w:proofErr w:type="spellStart"/>
      <w:r w:rsidR="001D79A1" w:rsidRPr="001D79A1">
        <w:t>Perbedaan-perbedaan</w:t>
      </w:r>
      <w:proofErr w:type="spellEnd"/>
      <w:r w:rsidR="001D79A1" w:rsidRPr="001D79A1">
        <w:t xml:space="preserve"> </w:t>
      </w:r>
      <w:proofErr w:type="spellStart"/>
      <w:r w:rsidR="001D79A1" w:rsidRPr="001D79A1">
        <w:t>ini</w:t>
      </w:r>
      <w:proofErr w:type="spellEnd"/>
      <w:r w:rsidR="001D79A1" w:rsidRPr="001D79A1">
        <w:t xml:space="preserve"> </w:t>
      </w:r>
      <w:proofErr w:type="spellStart"/>
      <w:r w:rsidR="001D79A1" w:rsidRPr="001D79A1">
        <w:t>mempengaruhi</w:t>
      </w:r>
      <w:proofErr w:type="spellEnd"/>
      <w:r w:rsidR="001D79A1" w:rsidRPr="001D79A1">
        <w:t xml:space="preserve"> </w:t>
      </w:r>
      <w:proofErr w:type="spellStart"/>
      <w:r w:rsidR="001D79A1" w:rsidRPr="001D79A1">
        <w:t>potensi</w:t>
      </w:r>
      <w:proofErr w:type="spellEnd"/>
      <w:r w:rsidR="001D79A1" w:rsidRPr="001D79A1">
        <w:t xml:space="preserve"> </w:t>
      </w:r>
      <w:proofErr w:type="spellStart"/>
      <w:r w:rsidR="001D79A1" w:rsidRPr="001D79A1">
        <w:t>pendapatan</w:t>
      </w:r>
      <w:proofErr w:type="spellEnd"/>
      <w:r w:rsidR="001D79A1" w:rsidRPr="001D79A1">
        <w:t xml:space="preserve"> </w:t>
      </w:r>
      <w:proofErr w:type="spellStart"/>
      <w:r w:rsidR="001D79A1" w:rsidRPr="001D79A1">
        <w:t>asli</w:t>
      </w:r>
      <w:proofErr w:type="spellEnd"/>
      <w:r w:rsidR="001D79A1" w:rsidRPr="001D79A1">
        <w:t xml:space="preserve"> </w:t>
      </w:r>
      <w:proofErr w:type="spellStart"/>
      <w:r w:rsidR="001D79A1" w:rsidRPr="001D79A1">
        <w:t>daerah</w:t>
      </w:r>
      <w:proofErr w:type="spellEnd"/>
      <w:r w:rsidR="001D79A1" w:rsidRPr="001D79A1">
        <w:t xml:space="preserve"> yang </w:t>
      </w:r>
      <w:proofErr w:type="spellStart"/>
      <w:r w:rsidR="001D79A1" w:rsidRPr="001D79A1">
        <w:t>harus</w:t>
      </w:r>
      <w:proofErr w:type="spellEnd"/>
      <w:r w:rsidR="001D79A1" w:rsidRPr="001D79A1">
        <w:t xml:space="preserve"> </w:t>
      </w:r>
      <w:proofErr w:type="spellStart"/>
      <w:r w:rsidR="001D79A1" w:rsidRPr="001D79A1">
        <w:t>dikelola</w:t>
      </w:r>
      <w:proofErr w:type="spellEnd"/>
      <w:r w:rsidR="001D79A1" w:rsidRPr="001D79A1">
        <w:t xml:space="preserve"> </w:t>
      </w:r>
      <w:proofErr w:type="spellStart"/>
      <w:r w:rsidR="001D79A1" w:rsidRPr="001D79A1">
        <w:t>secara</w:t>
      </w:r>
      <w:proofErr w:type="spellEnd"/>
      <w:r w:rsidR="001D79A1" w:rsidRPr="001D79A1">
        <w:t xml:space="preserve"> </w:t>
      </w:r>
      <w:proofErr w:type="spellStart"/>
      <w:r w:rsidR="001D79A1" w:rsidRPr="001D79A1">
        <w:t>berbeda</w:t>
      </w:r>
      <w:proofErr w:type="spellEnd"/>
      <w:r w:rsidR="001D79A1" w:rsidRPr="001D79A1">
        <w:t xml:space="preserve"> </w:t>
      </w:r>
      <w:proofErr w:type="spellStart"/>
      <w:r w:rsidR="001D79A1" w:rsidRPr="001D79A1">
        <w:t>dengan</w:t>
      </w:r>
      <w:proofErr w:type="spellEnd"/>
      <w:r w:rsidR="001D79A1" w:rsidRPr="001D79A1">
        <w:t xml:space="preserve"> </w:t>
      </w:r>
      <w:proofErr w:type="spellStart"/>
      <w:r w:rsidR="001D79A1" w:rsidRPr="001D79A1">
        <w:t>kebijakan</w:t>
      </w:r>
      <w:proofErr w:type="spellEnd"/>
      <w:r w:rsidR="001D79A1" w:rsidRPr="001D79A1">
        <w:t xml:space="preserve"> </w:t>
      </w:r>
      <w:proofErr w:type="spellStart"/>
      <w:r w:rsidR="001D79A1" w:rsidRPr="001D79A1">
        <w:t>fiskal</w:t>
      </w:r>
      <w:proofErr w:type="spellEnd"/>
      <w:r w:rsidR="001D79A1" w:rsidRPr="001D79A1">
        <w:t xml:space="preserve"> </w:t>
      </w:r>
      <w:proofErr w:type="spellStart"/>
      <w:r w:rsidR="001D79A1" w:rsidRPr="001D79A1">
        <w:t>kota</w:t>
      </w:r>
      <w:proofErr w:type="spellEnd"/>
      <w:r w:rsidR="001D79A1" w:rsidRPr="001D79A1">
        <w:t xml:space="preserve">. </w:t>
      </w:r>
      <w:proofErr w:type="spellStart"/>
      <w:r w:rsidR="001D79A1" w:rsidRPr="001D79A1">
        <w:t>Perbedaan</w:t>
      </w:r>
      <w:proofErr w:type="spellEnd"/>
      <w:r w:rsidR="001D79A1" w:rsidRPr="001D79A1">
        <w:t xml:space="preserve"> </w:t>
      </w:r>
      <w:proofErr w:type="spellStart"/>
      <w:r w:rsidR="001D79A1" w:rsidRPr="001D79A1">
        <w:t>Pendapatan</w:t>
      </w:r>
      <w:proofErr w:type="spellEnd"/>
      <w:r w:rsidR="001D79A1" w:rsidRPr="001D79A1">
        <w:t xml:space="preserve"> Asli Daerah (PAD) </w:t>
      </w:r>
      <w:proofErr w:type="spellStart"/>
      <w:r w:rsidR="001D79A1" w:rsidRPr="001D79A1">
        <w:t>antara</w:t>
      </w:r>
      <w:proofErr w:type="spellEnd"/>
      <w:r w:rsidR="001D79A1" w:rsidRPr="001D79A1">
        <w:t xml:space="preserve"> </w:t>
      </w:r>
      <w:proofErr w:type="spellStart"/>
      <w:r w:rsidR="001D79A1" w:rsidRPr="001D79A1">
        <w:t>kedua</w:t>
      </w:r>
      <w:proofErr w:type="spellEnd"/>
      <w:r w:rsidR="001D79A1" w:rsidRPr="001D79A1">
        <w:t xml:space="preserve"> </w:t>
      </w:r>
      <w:proofErr w:type="spellStart"/>
      <w:r w:rsidR="001D79A1" w:rsidRPr="001D79A1">
        <w:t>entitas</w:t>
      </w:r>
      <w:proofErr w:type="spellEnd"/>
      <w:r w:rsidR="001D79A1" w:rsidRPr="001D79A1">
        <w:t xml:space="preserve"> </w:t>
      </w:r>
      <w:proofErr w:type="spellStart"/>
      <w:r w:rsidR="001D79A1" w:rsidRPr="001D79A1">
        <w:t>tersebut</w:t>
      </w:r>
      <w:proofErr w:type="spellEnd"/>
      <w:r w:rsidR="001D79A1" w:rsidRPr="001D79A1">
        <w:t xml:space="preserve"> </w:t>
      </w:r>
      <w:proofErr w:type="spellStart"/>
      <w:r w:rsidR="001D79A1" w:rsidRPr="001D79A1">
        <w:t>disebabkan</w:t>
      </w:r>
      <w:proofErr w:type="spellEnd"/>
      <w:r w:rsidR="001D79A1" w:rsidRPr="001D79A1">
        <w:t xml:space="preserve"> oleh </w:t>
      </w:r>
      <w:proofErr w:type="spellStart"/>
      <w:r w:rsidR="001D79A1" w:rsidRPr="001D79A1">
        <w:t>kegagalan</w:t>
      </w:r>
      <w:proofErr w:type="spellEnd"/>
      <w:r w:rsidR="001D79A1" w:rsidRPr="001D79A1">
        <w:t xml:space="preserve"> </w:t>
      </w:r>
      <w:proofErr w:type="spellStart"/>
      <w:r w:rsidR="001D79A1" w:rsidRPr="001D79A1">
        <w:t>pemerintah</w:t>
      </w:r>
      <w:proofErr w:type="spellEnd"/>
      <w:r w:rsidR="001D79A1" w:rsidRPr="001D79A1">
        <w:t xml:space="preserve"> </w:t>
      </w:r>
      <w:proofErr w:type="spellStart"/>
      <w:r w:rsidR="001D79A1" w:rsidRPr="001D79A1">
        <w:t>pusat</w:t>
      </w:r>
      <w:proofErr w:type="spellEnd"/>
      <w:r w:rsidR="001D79A1" w:rsidRPr="001D79A1">
        <w:t xml:space="preserve"> </w:t>
      </w:r>
      <w:proofErr w:type="spellStart"/>
      <w:r w:rsidR="001D79A1" w:rsidRPr="001D79A1">
        <w:t>dalam</w:t>
      </w:r>
      <w:proofErr w:type="spellEnd"/>
      <w:r w:rsidR="001D79A1" w:rsidRPr="001D79A1">
        <w:t xml:space="preserve"> </w:t>
      </w:r>
      <w:proofErr w:type="spellStart"/>
      <w:r w:rsidR="001D79A1" w:rsidRPr="001D79A1">
        <w:t>menangani</w:t>
      </w:r>
      <w:proofErr w:type="spellEnd"/>
      <w:r w:rsidR="001D79A1" w:rsidRPr="001D79A1">
        <w:t xml:space="preserve"> </w:t>
      </w:r>
      <w:proofErr w:type="spellStart"/>
      <w:r w:rsidR="001D79A1" w:rsidRPr="001D79A1">
        <w:t>kemampuan</w:t>
      </w:r>
      <w:proofErr w:type="spellEnd"/>
      <w:r w:rsidR="001D79A1" w:rsidRPr="001D79A1">
        <w:t xml:space="preserve"> </w:t>
      </w:r>
      <w:proofErr w:type="spellStart"/>
      <w:r w:rsidR="001D79A1" w:rsidRPr="001D79A1">
        <w:t>peningkatan</w:t>
      </w:r>
      <w:proofErr w:type="spellEnd"/>
      <w:r w:rsidR="001D79A1" w:rsidRPr="001D79A1">
        <w:t xml:space="preserve"> </w:t>
      </w:r>
      <w:proofErr w:type="spellStart"/>
      <w:r w:rsidR="001D79A1" w:rsidRPr="001D79A1">
        <w:t>pendapatan</w:t>
      </w:r>
      <w:proofErr w:type="spellEnd"/>
      <w:r w:rsidR="001D79A1" w:rsidRPr="001D79A1">
        <w:t xml:space="preserve"> </w:t>
      </w:r>
      <w:proofErr w:type="spellStart"/>
      <w:r w:rsidR="001D79A1" w:rsidRPr="001D79A1">
        <w:t>pemerintah</w:t>
      </w:r>
      <w:proofErr w:type="spellEnd"/>
      <w:r w:rsidR="001D79A1" w:rsidRPr="001D79A1">
        <w:t xml:space="preserve"> </w:t>
      </w:r>
      <w:proofErr w:type="spellStart"/>
      <w:r w:rsidR="001D79A1" w:rsidRPr="001D79A1">
        <w:t>kabupaten</w:t>
      </w:r>
      <w:proofErr w:type="spellEnd"/>
      <w:r w:rsidR="001D79A1" w:rsidRPr="001D79A1">
        <w:t xml:space="preserve"> </w:t>
      </w:r>
      <w:proofErr w:type="spellStart"/>
      <w:r w:rsidR="001D79A1" w:rsidRPr="001D79A1">
        <w:t>secara</w:t>
      </w:r>
      <w:proofErr w:type="spellEnd"/>
      <w:r w:rsidR="001D79A1" w:rsidRPr="001D79A1">
        <w:t xml:space="preserve"> </w:t>
      </w:r>
      <w:proofErr w:type="spellStart"/>
      <w:r w:rsidR="001D79A1" w:rsidRPr="001D79A1">
        <w:t>memadai</w:t>
      </w:r>
      <w:proofErr w:type="spellEnd"/>
      <w:r w:rsidR="001D79A1" w:rsidRPr="001D79A1">
        <w:t xml:space="preserve">. </w:t>
      </w:r>
      <w:proofErr w:type="spellStart"/>
      <w:r w:rsidR="001D79A1" w:rsidRPr="001D79A1">
        <w:t>Meskipun</w:t>
      </w:r>
      <w:proofErr w:type="spellEnd"/>
      <w:r w:rsidR="001D79A1" w:rsidRPr="001D79A1">
        <w:t xml:space="preserve"> </w:t>
      </w:r>
      <w:proofErr w:type="spellStart"/>
      <w:r w:rsidR="001D79A1" w:rsidRPr="001D79A1">
        <w:t>pajak</w:t>
      </w:r>
      <w:proofErr w:type="spellEnd"/>
      <w:r w:rsidR="001D79A1" w:rsidRPr="001D79A1">
        <w:t xml:space="preserve"> </w:t>
      </w:r>
      <w:proofErr w:type="spellStart"/>
      <w:r w:rsidR="001D79A1" w:rsidRPr="001D79A1">
        <w:t>daerah</w:t>
      </w:r>
      <w:proofErr w:type="spellEnd"/>
      <w:r w:rsidR="001D79A1" w:rsidRPr="001D79A1">
        <w:t xml:space="preserve"> </w:t>
      </w:r>
      <w:proofErr w:type="spellStart"/>
      <w:r w:rsidR="001D79A1" w:rsidRPr="001D79A1">
        <w:t>beragam</w:t>
      </w:r>
      <w:proofErr w:type="spellEnd"/>
      <w:r w:rsidR="001D79A1" w:rsidRPr="001D79A1">
        <w:t xml:space="preserve">, </w:t>
      </w:r>
      <w:proofErr w:type="spellStart"/>
      <w:r w:rsidR="001D79A1" w:rsidRPr="001D79A1">
        <w:t>hanya</w:t>
      </w:r>
      <w:proofErr w:type="spellEnd"/>
      <w:r w:rsidR="001D79A1" w:rsidRPr="001D79A1">
        <w:t xml:space="preserve"> </w:t>
      </w:r>
      <w:proofErr w:type="spellStart"/>
      <w:r w:rsidR="001D79A1" w:rsidRPr="001D79A1">
        <w:t>beberapa</w:t>
      </w:r>
      <w:proofErr w:type="spellEnd"/>
      <w:r w:rsidR="001D79A1" w:rsidRPr="001D79A1">
        <w:t xml:space="preserve"> yang </w:t>
      </w:r>
      <w:proofErr w:type="spellStart"/>
      <w:r w:rsidR="001D79A1" w:rsidRPr="001D79A1">
        <w:t>dapat</w:t>
      </w:r>
      <w:proofErr w:type="spellEnd"/>
      <w:r w:rsidR="001D79A1" w:rsidRPr="001D79A1">
        <w:t xml:space="preserve"> </w:t>
      </w:r>
      <w:proofErr w:type="spellStart"/>
      <w:r w:rsidR="001D79A1" w:rsidRPr="001D79A1">
        <w:t>diandalkan</w:t>
      </w:r>
      <w:proofErr w:type="spellEnd"/>
      <w:r w:rsidR="001D79A1" w:rsidRPr="001D79A1">
        <w:t xml:space="preserve"> </w:t>
      </w:r>
      <w:proofErr w:type="spellStart"/>
      <w:r w:rsidR="001D79A1" w:rsidRPr="001D79A1">
        <w:t>sebagai</w:t>
      </w:r>
      <w:proofErr w:type="spellEnd"/>
      <w:r w:rsidR="001D79A1" w:rsidRPr="001D79A1">
        <w:t xml:space="preserve"> </w:t>
      </w:r>
      <w:proofErr w:type="spellStart"/>
      <w:r w:rsidR="001D79A1" w:rsidRPr="001D79A1">
        <w:t>sumber</w:t>
      </w:r>
      <w:proofErr w:type="spellEnd"/>
      <w:r w:rsidR="001D79A1" w:rsidRPr="001D79A1">
        <w:t xml:space="preserve"> </w:t>
      </w:r>
      <w:proofErr w:type="spellStart"/>
      <w:r w:rsidR="001D79A1" w:rsidRPr="001D79A1">
        <w:t>pendapatan</w:t>
      </w:r>
      <w:proofErr w:type="spellEnd"/>
      <w:r w:rsidR="001D79A1" w:rsidRPr="001D79A1">
        <w:t xml:space="preserve"> </w:t>
      </w:r>
      <w:proofErr w:type="spellStart"/>
      <w:r w:rsidR="001D79A1" w:rsidRPr="001D79A1">
        <w:t>daerah</w:t>
      </w:r>
      <w:proofErr w:type="spellEnd"/>
      <w:r w:rsidR="001D79A1" w:rsidRPr="001D79A1">
        <w:t xml:space="preserve">. </w:t>
      </w:r>
      <w:proofErr w:type="spellStart"/>
      <w:r w:rsidR="001D79A1" w:rsidRPr="001D79A1">
        <w:t>Bidang</w:t>
      </w:r>
      <w:proofErr w:type="spellEnd"/>
      <w:r w:rsidR="001D79A1" w:rsidRPr="001D79A1">
        <w:t xml:space="preserve"> </w:t>
      </w:r>
      <w:proofErr w:type="spellStart"/>
      <w:r w:rsidR="001D79A1" w:rsidRPr="001D79A1">
        <w:t>perpajakan</w:t>
      </w:r>
      <w:proofErr w:type="spellEnd"/>
      <w:r w:rsidR="001D79A1" w:rsidRPr="001D79A1">
        <w:t xml:space="preserve"> </w:t>
      </w:r>
      <w:proofErr w:type="spellStart"/>
      <w:r w:rsidR="001D79A1" w:rsidRPr="001D79A1">
        <w:t>dicirikan</w:t>
      </w:r>
      <w:proofErr w:type="spellEnd"/>
      <w:r w:rsidR="001D79A1" w:rsidRPr="001D79A1">
        <w:t xml:space="preserve"> oleh </w:t>
      </w:r>
      <w:proofErr w:type="spellStart"/>
      <w:r w:rsidR="001D79A1" w:rsidRPr="001D79A1">
        <w:t>tingkat</w:t>
      </w:r>
      <w:proofErr w:type="spellEnd"/>
      <w:r w:rsidR="001D79A1" w:rsidRPr="001D79A1">
        <w:t xml:space="preserve"> </w:t>
      </w:r>
      <w:proofErr w:type="spellStart"/>
      <w:r w:rsidR="001D79A1" w:rsidRPr="001D79A1">
        <w:t>sentralisasi</w:t>
      </w:r>
      <w:proofErr w:type="spellEnd"/>
      <w:r w:rsidR="001D79A1" w:rsidRPr="001D79A1">
        <w:t xml:space="preserve"> yang </w:t>
      </w:r>
      <w:proofErr w:type="spellStart"/>
      <w:r w:rsidR="001D79A1" w:rsidRPr="001D79A1">
        <w:t>tinggi</w:t>
      </w:r>
      <w:proofErr w:type="spellEnd"/>
      <w:r w:rsidR="001D79A1" w:rsidRPr="001D79A1">
        <w:t xml:space="preserve">, </w:t>
      </w:r>
      <w:proofErr w:type="spellStart"/>
      <w:r w:rsidR="001D79A1" w:rsidRPr="001D79A1">
        <w:t>karena</w:t>
      </w:r>
      <w:proofErr w:type="spellEnd"/>
      <w:r w:rsidR="001D79A1" w:rsidRPr="001D79A1">
        <w:t xml:space="preserve"> </w:t>
      </w:r>
      <w:proofErr w:type="spellStart"/>
      <w:r w:rsidR="001D79A1" w:rsidRPr="001D79A1">
        <w:t>pemerintah</w:t>
      </w:r>
      <w:proofErr w:type="spellEnd"/>
      <w:r w:rsidR="001D79A1" w:rsidRPr="001D79A1">
        <w:t xml:space="preserve"> </w:t>
      </w:r>
      <w:proofErr w:type="spellStart"/>
      <w:r w:rsidR="001D79A1" w:rsidRPr="001D79A1">
        <w:t>pusat</w:t>
      </w:r>
      <w:proofErr w:type="spellEnd"/>
      <w:r w:rsidR="001D79A1" w:rsidRPr="001D79A1">
        <w:t xml:space="preserve"> </w:t>
      </w:r>
      <w:proofErr w:type="spellStart"/>
      <w:r w:rsidR="001D79A1" w:rsidRPr="001D79A1">
        <w:t>mengumpulkan</w:t>
      </w:r>
      <w:proofErr w:type="spellEnd"/>
      <w:r w:rsidR="001D79A1" w:rsidRPr="001D79A1">
        <w:t xml:space="preserve"> </w:t>
      </w:r>
      <w:proofErr w:type="spellStart"/>
      <w:r w:rsidR="001D79A1" w:rsidRPr="001D79A1">
        <w:t>semua</w:t>
      </w:r>
      <w:proofErr w:type="spellEnd"/>
      <w:r w:rsidR="001D79A1" w:rsidRPr="001D79A1">
        <w:t xml:space="preserve"> </w:t>
      </w:r>
      <w:proofErr w:type="spellStart"/>
      <w:r w:rsidR="001D79A1" w:rsidRPr="001D79A1">
        <w:t>jenis</w:t>
      </w:r>
      <w:proofErr w:type="spellEnd"/>
      <w:r w:rsidR="001D79A1" w:rsidRPr="001D79A1">
        <w:t xml:space="preserve"> </w:t>
      </w:r>
      <w:proofErr w:type="spellStart"/>
      <w:r w:rsidR="001D79A1" w:rsidRPr="001D79A1">
        <w:t>pajak</w:t>
      </w:r>
      <w:proofErr w:type="spellEnd"/>
      <w:r w:rsidR="001D79A1" w:rsidRPr="001D79A1">
        <w:t xml:space="preserve"> </w:t>
      </w:r>
      <w:proofErr w:type="spellStart"/>
      <w:r w:rsidR="001D79A1" w:rsidRPr="001D79A1">
        <w:t>utama</w:t>
      </w:r>
      <w:proofErr w:type="spellEnd"/>
      <w:r w:rsidR="001D79A1" w:rsidRPr="001D79A1">
        <w:t xml:space="preserve"> dan </w:t>
      </w:r>
      <w:proofErr w:type="spellStart"/>
      <w:r w:rsidR="001D79A1" w:rsidRPr="001D79A1">
        <w:t>semua</w:t>
      </w:r>
      <w:proofErr w:type="spellEnd"/>
      <w:r w:rsidR="001D79A1" w:rsidRPr="001D79A1">
        <w:t xml:space="preserve"> </w:t>
      </w:r>
      <w:proofErr w:type="spellStart"/>
      <w:r w:rsidR="001D79A1" w:rsidRPr="001D79A1">
        <w:t>jenis</w:t>
      </w:r>
      <w:proofErr w:type="spellEnd"/>
      <w:r w:rsidR="001D79A1" w:rsidRPr="001D79A1">
        <w:t xml:space="preserve"> </w:t>
      </w:r>
      <w:proofErr w:type="spellStart"/>
      <w:r w:rsidR="001D79A1" w:rsidRPr="001D79A1">
        <w:t>pajak</w:t>
      </w:r>
      <w:proofErr w:type="spellEnd"/>
      <w:r w:rsidR="001D79A1" w:rsidRPr="001D79A1">
        <w:t xml:space="preserve"> </w:t>
      </w:r>
      <w:proofErr w:type="spellStart"/>
      <w:r w:rsidR="001D79A1" w:rsidRPr="001D79A1">
        <w:t>utama</w:t>
      </w:r>
      <w:proofErr w:type="spellEnd"/>
      <w:r w:rsidR="001D79A1" w:rsidRPr="001D79A1">
        <w:t xml:space="preserve"> dan paling </w:t>
      </w:r>
      <w:proofErr w:type="spellStart"/>
      <w:r w:rsidR="001D79A1" w:rsidRPr="001D79A1">
        <w:t>produktif</w:t>
      </w:r>
      <w:proofErr w:type="spellEnd"/>
      <w:r w:rsidR="001D79A1" w:rsidRPr="001D79A1">
        <w:t xml:space="preserve">, </w:t>
      </w:r>
      <w:proofErr w:type="spellStart"/>
      <w:r w:rsidR="001D79A1" w:rsidRPr="001D79A1">
        <w:t>termasuk</w:t>
      </w:r>
      <w:proofErr w:type="spellEnd"/>
      <w:r w:rsidR="001D79A1" w:rsidRPr="001D79A1">
        <w:t xml:space="preserve"> </w:t>
      </w:r>
      <w:proofErr w:type="spellStart"/>
      <w:r w:rsidR="001D79A1" w:rsidRPr="001D79A1">
        <w:t>pajak</w:t>
      </w:r>
      <w:proofErr w:type="spellEnd"/>
      <w:r w:rsidR="001D79A1" w:rsidRPr="001D79A1">
        <w:t xml:space="preserve"> </w:t>
      </w:r>
      <w:proofErr w:type="spellStart"/>
      <w:r w:rsidR="001D79A1" w:rsidRPr="001D79A1">
        <w:t>langsung</w:t>
      </w:r>
      <w:proofErr w:type="spellEnd"/>
      <w:r w:rsidR="001D79A1" w:rsidRPr="001D79A1">
        <w:t xml:space="preserve"> dan </w:t>
      </w:r>
      <w:proofErr w:type="spellStart"/>
      <w:r w:rsidR="001D79A1" w:rsidRPr="001D79A1">
        <w:t>tidak</w:t>
      </w:r>
      <w:proofErr w:type="spellEnd"/>
      <w:r w:rsidR="001D79A1" w:rsidRPr="001D79A1">
        <w:t xml:space="preserve"> </w:t>
      </w:r>
      <w:proofErr w:type="spellStart"/>
      <w:r w:rsidR="001D79A1" w:rsidRPr="001D79A1">
        <w:t>langsung</w:t>
      </w:r>
      <w:proofErr w:type="spellEnd"/>
      <w:r w:rsidR="001D79A1" w:rsidRPr="001D79A1">
        <w:t xml:space="preserve">. </w:t>
      </w:r>
      <w:proofErr w:type="spellStart"/>
      <w:r w:rsidR="001D79A1" w:rsidRPr="001D79A1">
        <w:t>Kebijakan</w:t>
      </w:r>
      <w:proofErr w:type="spellEnd"/>
      <w:r w:rsidR="001D79A1" w:rsidRPr="001D79A1">
        <w:t xml:space="preserve"> </w:t>
      </w:r>
      <w:proofErr w:type="spellStart"/>
      <w:r w:rsidR="001D79A1" w:rsidRPr="001D79A1">
        <w:t>desentralisasi</w:t>
      </w:r>
      <w:proofErr w:type="spellEnd"/>
      <w:r w:rsidR="001D79A1" w:rsidRPr="001D79A1">
        <w:t xml:space="preserve"> </w:t>
      </w:r>
      <w:proofErr w:type="spellStart"/>
      <w:r w:rsidR="001D79A1" w:rsidRPr="001D79A1">
        <w:t>simetris</w:t>
      </w:r>
      <w:proofErr w:type="spellEnd"/>
      <w:r w:rsidR="001D79A1" w:rsidRPr="001D79A1">
        <w:t xml:space="preserve"> </w:t>
      </w:r>
      <w:proofErr w:type="spellStart"/>
      <w:r w:rsidR="001D79A1" w:rsidRPr="001D79A1">
        <w:t>antara</w:t>
      </w:r>
      <w:proofErr w:type="spellEnd"/>
      <w:r w:rsidR="001D79A1" w:rsidRPr="001D79A1">
        <w:t xml:space="preserve"> </w:t>
      </w:r>
      <w:proofErr w:type="spellStart"/>
      <w:r w:rsidR="001D79A1" w:rsidRPr="001D79A1">
        <w:t>kabupaten</w:t>
      </w:r>
      <w:proofErr w:type="spellEnd"/>
      <w:r w:rsidR="001D79A1" w:rsidRPr="001D79A1">
        <w:t xml:space="preserve"> </w:t>
      </w:r>
      <w:proofErr w:type="spellStart"/>
      <w:r w:rsidR="001D79A1" w:rsidRPr="001D79A1">
        <w:t>kabupaten</w:t>
      </w:r>
      <w:proofErr w:type="spellEnd"/>
      <w:r w:rsidR="001D79A1" w:rsidRPr="001D79A1">
        <w:t xml:space="preserve"> dan </w:t>
      </w:r>
      <w:proofErr w:type="spellStart"/>
      <w:r w:rsidR="001D79A1" w:rsidRPr="001D79A1">
        <w:t>kota</w:t>
      </w:r>
      <w:proofErr w:type="spellEnd"/>
      <w:r w:rsidR="001D79A1" w:rsidRPr="001D79A1">
        <w:t xml:space="preserve"> </w:t>
      </w:r>
      <w:proofErr w:type="spellStart"/>
      <w:r w:rsidR="001D79A1" w:rsidRPr="001D79A1">
        <w:t>semakin</w:t>
      </w:r>
      <w:proofErr w:type="spellEnd"/>
      <w:r w:rsidR="001D79A1" w:rsidRPr="001D79A1">
        <w:t xml:space="preserve"> </w:t>
      </w:r>
      <w:proofErr w:type="spellStart"/>
      <w:r w:rsidR="001D79A1" w:rsidRPr="001D79A1">
        <w:t>membatasi</w:t>
      </w:r>
      <w:proofErr w:type="spellEnd"/>
      <w:r w:rsidR="001D79A1" w:rsidRPr="001D79A1">
        <w:t xml:space="preserve"> </w:t>
      </w:r>
      <w:proofErr w:type="spellStart"/>
      <w:r w:rsidR="001D79A1" w:rsidRPr="001D79A1">
        <w:t>kapasitas</w:t>
      </w:r>
      <w:proofErr w:type="spellEnd"/>
      <w:r w:rsidR="001D79A1" w:rsidRPr="001D79A1">
        <w:t xml:space="preserve"> </w:t>
      </w:r>
      <w:proofErr w:type="spellStart"/>
      <w:r w:rsidR="001D79A1" w:rsidRPr="001D79A1">
        <w:t>pemerintah</w:t>
      </w:r>
      <w:proofErr w:type="spellEnd"/>
      <w:r w:rsidR="001D79A1" w:rsidRPr="001D79A1">
        <w:t xml:space="preserve"> </w:t>
      </w:r>
      <w:proofErr w:type="spellStart"/>
      <w:r w:rsidR="001D79A1" w:rsidRPr="001D79A1">
        <w:t>daerah</w:t>
      </w:r>
      <w:proofErr w:type="spellEnd"/>
      <w:r w:rsidR="001D79A1" w:rsidRPr="001D79A1">
        <w:t xml:space="preserve"> </w:t>
      </w:r>
      <w:proofErr w:type="spellStart"/>
      <w:r w:rsidR="001D79A1" w:rsidRPr="001D79A1">
        <w:t>untuk</w:t>
      </w:r>
      <w:proofErr w:type="spellEnd"/>
      <w:r w:rsidR="001D79A1" w:rsidRPr="001D79A1">
        <w:t xml:space="preserve"> </w:t>
      </w:r>
      <w:proofErr w:type="spellStart"/>
      <w:r w:rsidR="001D79A1" w:rsidRPr="001D79A1">
        <w:t>meningkatkan</w:t>
      </w:r>
      <w:proofErr w:type="spellEnd"/>
      <w:r w:rsidR="001D79A1" w:rsidRPr="001D79A1">
        <w:t xml:space="preserve"> </w:t>
      </w:r>
      <w:proofErr w:type="spellStart"/>
      <w:r w:rsidR="001D79A1" w:rsidRPr="001D79A1">
        <w:t>pendapatan</w:t>
      </w:r>
      <w:proofErr w:type="spellEnd"/>
      <w:r w:rsidR="001D79A1" w:rsidRPr="001D79A1">
        <w:t xml:space="preserve"> </w:t>
      </w:r>
      <w:proofErr w:type="spellStart"/>
      <w:r w:rsidR="001D79A1" w:rsidRPr="001D79A1">
        <w:t>asli</w:t>
      </w:r>
      <w:proofErr w:type="spellEnd"/>
      <w:r w:rsidR="001D79A1" w:rsidRPr="001D79A1">
        <w:t xml:space="preserve"> </w:t>
      </w:r>
      <w:proofErr w:type="spellStart"/>
      <w:r w:rsidR="001D79A1" w:rsidRPr="001D79A1">
        <w:t>daerah</w:t>
      </w:r>
      <w:proofErr w:type="spellEnd"/>
      <w:r>
        <w:t xml:space="preserve">. </w:t>
      </w:r>
    </w:p>
    <w:p w14:paraId="44679ECF" w14:textId="103E9C3D" w:rsidR="00F07020" w:rsidRDefault="00000000">
      <w:pPr>
        <w:ind w:left="-13" w:right="0" w:firstLine="0"/>
      </w:pPr>
      <w:r>
        <w:rPr>
          <w:b/>
        </w:rPr>
        <w:t xml:space="preserve">Kata </w:t>
      </w:r>
      <w:proofErr w:type="spellStart"/>
      <w:r>
        <w:rPr>
          <w:b/>
        </w:rPr>
        <w:t>kunci</w:t>
      </w:r>
      <w:proofErr w:type="spellEnd"/>
      <w:r>
        <w:rPr>
          <w:b/>
        </w:rPr>
        <w:t>:</w:t>
      </w:r>
      <w:r>
        <w:t xml:space="preserve"> </w:t>
      </w:r>
      <w:proofErr w:type="spellStart"/>
      <w:r w:rsidR="001D79A1" w:rsidRPr="001D79A1">
        <w:t>Pendapatan</w:t>
      </w:r>
      <w:proofErr w:type="spellEnd"/>
      <w:r w:rsidR="001D79A1" w:rsidRPr="001D79A1">
        <w:t xml:space="preserve"> Asli Daerah; </w:t>
      </w:r>
      <w:proofErr w:type="spellStart"/>
      <w:r w:rsidR="001D79A1" w:rsidRPr="001D79A1">
        <w:t>Potensi</w:t>
      </w:r>
      <w:proofErr w:type="spellEnd"/>
      <w:r w:rsidR="001D79A1" w:rsidRPr="001D79A1">
        <w:t xml:space="preserve"> </w:t>
      </w:r>
      <w:proofErr w:type="spellStart"/>
      <w:r w:rsidR="001D79A1" w:rsidRPr="001D79A1">
        <w:t>Sumber</w:t>
      </w:r>
      <w:proofErr w:type="spellEnd"/>
      <w:r w:rsidR="001D79A1" w:rsidRPr="001D79A1">
        <w:t xml:space="preserve"> </w:t>
      </w:r>
      <w:proofErr w:type="spellStart"/>
      <w:r w:rsidR="001D79A1" w:rsidRPr="001D79A1">
        <w:t>Pendapatan</w:t>
      </w:r>
      <w:proofErr w:type="spellEnd"/>
      <w:r w:rsidR="001D79A1" w:rsidRPr="001D79A1">
        <w:t xml:space="preserve"> Daerah; </w:t>
      </w:r>
      <w:proofErr w:type="spellStart"/>
      <w:r w:rsidR="001D79A1" w:rsidRPr="001D79A1">
        <w:t>Desentralisasi</w:t>
      </w:r>
      <w:proofErr w:type="spellEnd"/>
      <w:r w:rsidR="001D79A1" w:rsidRPr="001D79A1">
        <w:t xml:space="preserve"> </w:t>
      </w:r>
      <w:proofErr w:type="spellStart"/>
      <w:r w:rsidR="001D79A1" w:rsidRPr="001D79A1">
        <w:t>Fiskal</w:t>
      </w:r>
      <w:proofErr w:type="spellEnd"/>
    </w:p>
    <w:p w14:paraId="56443C1F" w14:textId="77777777" w:rsidR="00F07020" w:rsidRDefault="00000000">
      <w:pPr>
        <w:spacing w:line="259" w:lineRule="auto"/>
        <w:ind w:right="0" w:firstLine="0"/>
        <w:jc w:val="left"/>
      </w:pPr>
      <w:r>
        <w:t xml:space="preserve"> </w:t>
      </w:r>
    </w:p>
    <w:p w14:paraId="12C351B3" w14:textId="6B34E8DE" w:rsidR="00F07020" w:rsidRDefault="00000000">
      <w:pPr>
        <w:pStyle w:val="Heading1"/>
        <w:tabs>
          <w:tab w:val="center" w:pos="1868"/>
        </w:tabs>
        <w:ind w:left="-13" w:right="0" w:firstLine="0"/>
      </w:pPr>
      <w:r>
        <w:t>I.</w:t>
      </w:r>
      <w:r w:rsidR="001D79A1">
        <w:rPr>
          <w:rFonts w:ascii="Arial" w:eastAsia="Arial" w:hAnsi="Arial" w:cs="Arial"/>
        </w:rPr>
        <w:t xml:space="preserve">      </w:t>
      </w:r>
      <w:r>
        <w:t>PENDAHULUAN</w:t>
      </w:r>
      <w:r>
        <w:rPr>
          <w:vertAlign w:val="superscript"/>
        </w:rPr>
        <w:t xml:space="preserve"> </w:t>
      </w:r>
      <w:r>
        <w:rPr>
          <w:b w:val="0"/>
        </w:rPr>
        <w:t xml:space="preserve"> </w:t>
      </w:r>
    </w:p>
    <w:p w14:paraId="6A21EABC" w14:textId="77777777" w:rsidR="00F07020" w:rsidRDefault="00000000">
      <w:pPr>
        <w:pStyle w:val="Heading2"/>
        <w:tabs>
          <w:tab w:val="center" w:pos="1526"/>
        </w:tabs>
        <w:ind w:left="-13" w:right="0" w:firstLine="0"/>
      </w:pPr>
      <w:r>
        <w:t>1.1.</w:t>
      </w:r>
      <w:r>
        <w:rPr>
          <w:rFonts w:ascii="Arial" w:eastAsia="Arial" w:hAnsi="Arial" w:cs="Arial"/>
        </w:rPr>
        <w:t xml:space="preserve"> </w:t>
      </w:r>
      <w:r>
        <w:rPr>
          <w:rFonts w:ascii="Arial" w:eastAsia="Arial" w:hAnsi="Arial" w:cs="Arial"/>
        </w:rPr>
        <w:tab/>
      </w:r>
      <w:r>
        <w:t xml:space="preserve">Latar </w:t>
      </w:r>
      <w:proofErr w:type="spellStart"/>
      <w:r>
        <w:t>Belakang</w:t>
      </w:r>
      <w:proofErr w:type="spellEnd"/>
      <w:r>
        <w:t xml:space="preserve"> </w:t>
      </w:r>
      <w:r>
        <w:rPr>
          <w:b w:val="0"/>
        </w:rPr>
        <w:t xml:space="preserve"> </w:t>
      </w:r>
    </w:p>
    <w:p w14:paraId="5C08F37C" w14:textId="77777777" w:rsidR="00FB58F1" w:rsidRDefault="00FB58F1">
      <w:pPr>
        <w:ind w:left="-13" w:right="0"/>
      </w:pPr>
      <w:r w:rsidRPr="00FB58F1">
        <w:t xml:space="preserve">Fiscal decentralization has several consequences for a country that adopts it after its implementation. Therefore, fiscal decentralization in Indonesia has implications for meeting regional and national needs through discretionary spending and strengthening regional fiscal capacity through sources of regional revenue under their authority (Puspita &amp; Hamidi, 2021). In addition, the sources of regional revenue significantly affect the </w:t>
      </w:r>
      <w:proofErr w:type="spellStart"/>
      <w:r w:rsidRPr="00FB58F1">
        <w:t>fulfillment</w:t>
      </w:r>
      <w:proofErr w:type="spellEnd"/>
      <w:r w:rsidRPr="00FB58F1">
        <w:t xml:space="preserve"> of expenditure needs in a region (Fatimah et al., 2020)</w:t>
      </w:r>
      <w:r>
        <w:t xml:space="preserve">. </w:t>
      </w:r>
      <w:r w:rsidRPr="00FB58F1">
        <w:t xml:space="preserve">However, research conducted by Khairi (2021) showed that the current regional revenue sources cannot meet all local expenditure needs following local authority. </w:t>
      </w:r>
    </w:p>
    <w:p w14:paraId="4DABBC7F" w14:textId="77777777" w:rsidR="00FB58F1" w:rsidRDefault="00FB58F1">
      <w:pPr>
        <w:ind w:left="-13" w:right="0"/>
      </w:pPr>
      <w:r w:rsidRPr="00FB58F1">
        <w:t xml:space="preserve">Fiscal decentralization cannot be solely viewed in terms of economics, as it is closely intertwined with </w:t>
      </w:r>
      <w:proofErr w:type="gramStart"/>
      <w:r w:rsidRPr="00FB58F1">
        <w:t>politics(</w:t>
      </w:r>
      <w:proofErr w:type="gramEnd"/>
      <w:r w:rsidRPr="00FB58F1">
        <w:t xml:space="preserve">Lockwood, 2005). Transferring financial authority from a central to local governments has significant political implications. It is </w:t>
      </w:r>
      <w:proofErr w:type="gramStart"/>
      <w:r w:rsidRPr="00FB58F1">
        <w:t>reflect</w:t>
      </w:r>
      <w:proofErr w:type="gramEnd"/>
      <w:r w:rsidRPr="00FB58F1">
        <w:t xml:space="preserve"> the power distribution, enhancing local responsibility when the local gain control their own budget and spending (</w:t>
      </w:r>
      <w:proofErr w:type="spellStart"/>
      <w:r w:rsidRPr="00FB58F1">
        <w:t>Fedelino</w:t>
      </w:r>
      <w:proofErr w:type="spellEnd"/>
      <w:r w:rsidRPr="00FB58F1">
        <w:t xml:space="preserve">, 2010). </w:t>
      </w:r>
    </w:p>
    <w:p w14:paraId="3A00AACE" w14:textId="1215BABD" w:rsidR="00FB58F1" w:rsidRDefault="00FB58F1">
      <w:pPr>
        <w:ind w:left="-13" w:right="0"/>
      </w:pPr>
      <w:r w:rsidRPr="00FB58F1">
        <w:t xml:space="preserve">The revenue approach for regions proposed by Litvack and Seddon (1999) divides regional revenue sources into two types: (1) Regional revenue obtained based on the results of the excavation of the local government itself following predetermined provisions (PAD) and (2) Revenue that the central government has determined to the regional government (Transfer Funds). In Indonesia, Law No. 23/2014 on local government provides four categories of revenue that are included in Local Own-Sources Revenue: (1) Local Taxes, (2) Local Retributions, (3) Results of Management of Separated Regional Wealth, (4) Others Legitimate PAD. Further elaboration of these local taxes and retributions </w:t>
      </w:r>
      <w:r w:rsidR="007458BA">
        <w:rPr>
          <w:noProof/>
        </w:rPr>
        <w:lastRenderedPageBreak/>
        <w:drawing>
          <wp:anchor distT="0" distB="0" distL="114300" distR="114300" simplePos="0" relativeHeight="251662336" behindDoc="1" locked="0" layoutInCell="1" allowOverlap="0" wp14:anchorId="66A99FD0" wp14:editId="1464EB22">
            <wp:simplePos x="0" y="0"/>
            <wp:positionH relativeFrom="column">
              <wp:posOffset>0</wp:posOffset>
            </wp:positionH>
            <wp:positionV relativeFrom="paragraph">
              <wp:posOffset>-635</wp:posOffset>
            </wp:positionV>
            <wp:extent cx="6129020" cy="6129020"/>
            <wp:effectExtent l="0" t="0" r="0" b="0"/>
            <wp:wrapNone/>
            <wp:docPr id="1490247583" name="Picture 1490247583"/>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Pr="00FB58F1">
        <w:t xml:space="preserve">is further regulated in Law No. 1/2022 concerning the objects of taxes and levies that are the authority of local governments at both the provincial and regency/municipality levels. </w:t>
      </w:r>
    </w:p>
    <w:p w14:paraId="398E8B61" w14:textId="651726F8" w:rsidR="00F07020" w:rsidRDefault="00FB58F1">
      <w:pPr>
        <w:ind w:left="-13" w:right="0"/>
      </w:pPr>
      <w:r w:rsidRPr="00FB58F1">
        <w:t>Local Own-Source Revenue (PAD) has a vital role in local development, where PAD has the benefit of reducing dependence on the central government in local development (Bonet &amp; Fretes, 2013). PAD runs local government operations, maintains local assets, and allocates resources owned by local governments, such as financial, human, and other resources (UNCDF, 2023). The revenue obtained through the transfer fund negatively affects the local financial independence ratio, which in turn reduces the level of local independence. However, PAD also positively affects the ratio of local financial independence, which means increasing local financial independence (Andriani &amp; Wahid, 2019). In its implementation, the revenue obtained by the local government is more</w:t>
      </w:r>
      <w:r w:rsidR="00000000">
        <w:t xml:space="preserve"> </w:t>
      </w:r>
      <w:r w:rsidRPr="00FB58F1">
        <w:t>and more dependent on the revenue provided by the central government through transfer funds than the revenue obtained by the local government itself (Solikin, 2016).</w:t>
      </w:r>
    </w:p>
    <w:p w14:paraId="47F3D653" w14:textId="7071F6E8" w:rsidR="00FB58F1" w:rsidRDefault="00FB58F1">
      <w:pPr>
        <w:ind w:left="-13" w:right="0"/>
      </w:pPr>
      <w:r w:rsidRPr="00D611C0">
        <w:t>One cause of low regional revenue is the lack of optimization of potential regional revenue sources, especially from changes in economic structure, potential taxes, and retributions (Alam, 2016). Failure to raise awareness about local economic potential leads to a loss of revenue for district governments, as they cannot increase local income. Research conducted by Tan (</w:t>
      </w:r>
      <w:proofErr w:type="gramStart"/>
      <w:r w:rsidRPr="00D611C0">
        <w:t>2020)due</w:t>
      </w:r>
      <w:proofErr w:type="gramEnd"/>
      <w:r w:rsidRPr="00D611C0">
        <w:t xml:space="preserve"> to the low contribution of local own revenue to total local revenues. This fact has implications for the high local financial dependence on fiscal transfer from the central government, so that the Bogor Regency government is not yet autonomous in financing local development programs. This research aims to obtain rational knowledge about the effects of f </w:t>
      </w:r>
      <w:proofErr w:type="spellStart"/>
      <w:r w:rsidRPr="00D611C0">
        <w:t>iscal</w:t>
      </w:r>
      <w:proofErr w:type="spellEnd"/>
      <w:r w:rsidRPr="00D611C0">
        <w:t xml:space="preserve"> decentralization implementation and indirect local tax management on local fiscal autonomy. The research used a descriptive method with a qualitative approach, so that it can explain data and information obtained from observation, interview, and focus group discussion. The research concludes that the prospect of raising local fiscal autonomy is determined by the accuracy of fiscal decentralization implementation and the effectiveness of indirect local tax management. The accuracy of fiscal decentralization implementation requires the central government policy in the assignment of taxes and revenue sources to local government must be commensurate with the assignment of expenditure responsibilities to local government. The effectiveness of indirect local tax management requires that local government efforts to increase indirect local tax revenues must precisely determine the increase of revenue targets according to the results of econometric analysis of Gross Domestic Regional Product (GDRP suggested that the determination of indirect taxes carried out in Bogor Regency has not been based on the potential of indirect taxes in the area.</w:t>
      </w:r>
    </w:p>
    <w:p w14:paraId="2C85CDC6" w14:textId="77777777" w:rsidR="00F07020" w:rsidRDefault="00000000">
      <w:pPr>
        <w:spacing w:line="259" w:lineRule="auto"/>
        <w:ind w:right="0" w:firstLine="0"/>
        <w:jc w:val="left"/>
      </w:pPr>
      <w:r>
        <w:t xml:space="preserve"> </w:t>
      </w:r>
    </w:p>
    <w:p w14:paraId="2433EDFD" w14:textId="77777777" w:rsidR="00F07020" w:rsidRDefault="00000000">
      <w:pPr>
        <w:pStyle w:val="Heading2"/>
        <w:tabs>
          <w:tab w:val="center" w:pos="3515"/>
        </w:tabs>
        <w:ind w:left="-13" w:right="0" w:firstLine="0"/>
      </w:pPr>
      <w:r>
        <w:t>1.2.</w:t>
      </w:r>
      <w:r>
        <w:rPr>
          <w:rFonts w:ascii="Arial" w:eastAsia="Arial" w:hAnsi="Arial" w:cs="Arial"/>
        </w:rPr>
        <w:t xml:space="preserve"> </w:t>
      </w:r>
      <w:r>
        <w:rPr>
          <w:rFonts w:ascii="Arial" w:eastAsia="Arial" w:hAnsi="Arial" w:cs="Arial"/>
        </w:rPr>
        <w:tab/>
      </w:r>
      <w:r>
        <w:t xml:space="preserve"> </w:t>
      </w:r>
      <w:proofErr w:type="spellStart"/>
      <w:r>
        <w:t>Kesenjangan</w:t>
      </w:r>
      <w:proofErr w:type="spellEnd"/>
      <w:r>
        <w:t xml:space="preserve"> Masalah yang </w:t>
      </w:r>
      <w:proofErr w:type="spellStart"/>
      <w:r>
        <w:t>Diambil</w:t>
      </w:r>
      <w:proofErr w:type="spellEnd"/>
      <w:r>
        <w:t xml:space="preserve"> (GAP </w:t>
      </w:r>
      <w:proofErr w:type="spellStart"/>
      <w:r>
        <w:t>Penelitian</w:t>
      </w:r>
      <w:proofErr w:type="spellEnd"/>
      <w:r>
        <w:t>)</w:t>
      </w:r>
      <w:r>
        <w:rPr>
          <w:b w:val="0"/>
        </w:rPr>
        <w:t xml:space="preserve"> </w:t>
      </w:r>
    </w:p>
    <w:p w14:paraId="7FD3F019" w14:textId="57AE2AF3" w:rsidR="00F07020" w:rsidRDefault="00D611C0" w:rsidP="00D611C0">
      <w:pPr>
        <w:spacing w:before="240"/>
        <w:ind w:left="-13" w:right="0"/>
      </w:pPr>
      <w:r w:rsidRPr="000C7747">
        <w:t>Those findings reveal that the central government’s policy of symmetrically deciding the types of local taxes and retributions, reflecting fairness based on the actual potential of regencies and municipalities. Previous research has yet to address the disparity in PAD obtained between regencies and municipalities based on prospective PAD obtained between the two. It does not examine what factors influence the difference in PAD potential between regencies and municipalities</w:t>
      </w:r>
      <w:r w:rsidR="00000000">
        <w:t xml:space="preserve"> </w:t>
      </w:r>
    </w:p>
    <w:p w14:paraId="00AEFDC0" w14:textId="77777777" w:rsidR="00F07020" w:rsidRDefault="00000000">
      <w:pPr>
        <w:spacing w:line="259" w:lineRule="auto"/>
        <w:ind w:left="2" w:right="0" w:firstLine="0"/>
        <w:jc w:val="left"/>
      </w:pPr>
      <w:r>
        <w:t xml:space="preserve"> </w:t>
      </w:r>
      <w:r>
        <w:tab/>
        <w:t xml:space="preserve"> </w:t>
      </w:r>
    </w:p>
    <w:p w14:paraId="1D642718" w14:textId="299D7261" w:rsidR="00F07020" w:rsidRDefault="00000000" w:rsidP="000C7747">
      <w:pPr>
        <w:spacing w:line="249" w:lineRule="auto"/>
        <w:ind w:left="-3" w:right="0" w:hanging="10"/>
      </w:pPr>
      <w:r>
        <w:rPr>
          <w:b/>
        </w:rPr>
        <w:t>1.3.</w:t>
      </w:r>
      <w:r>
        <w:rPr>
          <w:rFonts w:ascii="Arial" w:eastAsia="Arial" w:hAnsi="Arial" w:cs="Arial"/>
          <w:b/>
        </w:rPr>
        <w:t xml:space="preserve"> </w:t>
      </w:r>
      <w:proofErr w:type="spellStart"/>
      <w:r>
        <w:rPr>
          <w:b/>
        </w:rPr>
        <w:t>Penelitian</w:t>
      </w:r>
      <w:proofErr w:type="spellEnd"/>
      <w:r>
        <w:rPr>
          <w:b/>
        </w:rPr>
        <w:t xml:space="preserve"> </w:t>
      </w:r>
      <w:proofErr w:type="spellStart"/>
      <w:r>
        <w:rPr>
          <w:b/>
        </w:rPr>
        <w:t>Terdahulu</w:t>
      </w:r>
      <w:proofErr w:type="spellEnd"/>
      <w:r>
        <w:t xml:space="preserve"> </w:t>
      </w:r>
    </w:p>
    <w:p w14:paraId="780632B9" w14:textId="36D16F68" w:rsidR="00F07020" w:rsidRDefault="007458BA" w:rsidP="00D611C0">
      <w:pPr>
        <w:spacing w:before="240" w:line="259" w:lineRule="auto"/>
        <w:ind w:right="0" w:firstLine="720"/>
        <w:jc w:val="left"/>
      </w:pPr>
      <w:r>
        <w:rPr>
          <w:noProof/>
        </w:rPr>
        <w:lastRenderedPageBreak/>
        <w:drawing>
          <wp:anchor distT="0" distB="0" distL="114300" distR="114300" simplePos="0" relativeHeight="251664384" behindDoc="1" locked="0" layoutInCell="1" allowOverlap="0" wp14:anchorId="3AAC3C44" wp14:editId="016474DC">
            <wp:simplePos x="0" y="0"/>
            <wp:positionH relativeFrom="column">
              <wp:posOffset>0</wp:posOffset>
            </wp:positionH>
            <wp:positionV relativeFrom="paragraph">
              <wp:posOffset>49558</wp:posOffset>
            </wp:positionV>
            <wp:extent cx="6129020" cy="6129020"/>
            <wp:effectExtent l="0" t="0" r="0" b="0"/>
            <wp:wrapNone/>
            <wp:docPr id="1342643348" name="Picture 1342643348"/>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000C7747" w:rsidRPr="000C7747">
        <w:t xml:space="preserve">Some previous studies highlight the potential of local taxes to increase PAD (Dede et al., 2021; Mandak et al., 2022), the effectiveness and contribution of local taxes to PAD (Akbar et al., 2019; </w:t>
      </w:r>
      <w:proofErr w:type="spellStart"/>
      <w:r w:rsidR="000C7747" w:rsidRPr="000C7747">
        <w:t>Fitriano</w:t>
      </w:r>
      <w:proofErr w:type="spellEnd"/>
      <w:r w:rsidR="000C7747" w:rsidRPr="000C7747">
        <w:t xml:space="preserve"> &amp; Ferina, 2021; Wibisono &amp; </w:t>
      </w:r>
      <w:proofErr w:type="spellStart"/>
      <w:r w:rsidR="000C7747" w:rsidRPr="000C7747">
        <w:t>Mulyani</w:t>
      </w:r>
      <w:proofErr w:type="spellEnd"/>
      <w:r w:rsidR="000C7747" w:rsidRPr="000C7747">
        <w:t xml:space="preserve">, 2019), and the potential of local retribution to play a role in PAD (Anisa Megawati &amp; Ady, 2016; Nugroho &amp; Budiman, 2018; Rahayu et al., 2023). </w:t>
      </w:r>
    </w:p>
    <w:p w14:paraId="20D4D1CE" w14:textId="09010E28" w:rsidR="00F07020" w:rsidRDefault="00000000" w:rsidP="00D611C0">
      <w:pPr>
        <w:spacing w:before="240" w:line="249" w:lineRule="auto"/>
        <w:ind w:left="-3" w:right="0" w:hanging="10"/>
      </w:pPr>
      <w:r>
        <w:rPr>
          <w:b/>
        </w:rPr>
        <w:t>1.4.</w:t>
      </w:r>
      <w:r>
        <w:rPr>
          <w:rFonts w:ascii="Arial" w:eastAsia="Arial" w:hAnsi="Arial" w:cs="Arial"/>
          <w:b/>
        </w:rPr>
        <w:t xml:space="preserve"> </w:t>
      </w:r>
      <w:proofErr w:type="spellStart"/>
      <w:r>
        <w:rPr>
          <w:b/>
        </w:rPr>
        <w:t>Pernyataan</w:t>
      </w:r>
      <w:proofErr w:type="spellEnd"/>
      <w:r>
        <w:rPr>
          <w:b/>
        </w:rPr>
        <w:t xml:space="preserve"> </w:t>
      </w:r>
      <w:proofErr w:type="spellStart"/>
      <w:r>
        <w:rPr>
          <w:b/>
        </w:rPr>
        <w:t>Kebaruan</w:t>
      </w:r>
      <w:proofErr w:type="spellEnd"/>
      <w:r>
        <w:rPr>
          <w:b/>
        </w:rPr>
        <w:t xml:space="preserve"> </w:t>
      </w:r>
      <w:proofErr w:type="spellStart"/>
      <w:r>
        <w:rPr>
          <w:b/>
        </w:rPr>
        <w:t>Ilmiah</w:t>
      </w:r>
      <w:proofErr w:type="spellEnd"/>
      <w:r>
        <w:rPr>
          <w:b/>
        </w:rPr>
        <w:t xml:space="preserve"> </w:t>
      </w:r>
    </w:p>
    <w:p w14:paraId="46936B02" w14:textId="0FB30262" w:rsidR="00F07020" w:rsidRDefault="007458BA" w:rsidP="00D611C0">
      <w:pPr>
        <w:spacing w:before="240" w:line="259" w:lineRule="auto"/>
        <w:ind w:right="0" w:firstLine="720"/>
        <w:jc w:val="left"/>
      </w:pPr>
      <w:r w:rsidRPr="00D611C0">
        <w:t>Therefore, based on the description above, a problem arises regarding the distribution of local potential in determining sources of PAD</w:t>
      </w:r>
      <w:r w:rsidR="00D611C0" w:rsidRPr="000C7747">
        <w:t xml:space="preserve">. </w:t>
      </w:r>
      <w:r w:rsidR="00000000">
        <w:t xml:space="preserve"> </w:t>
      </w:r>
    </w:p>
    <w:p w14:paraId="207D1501" w14:textId="77777777" w:rsidR="00F07020" w:rsidRDefault="00000000" w:rsidP="00D611C0">
      <w:pPr>
        <w:tabs>
          <w:tab w:val="center" w:pos="1134"/>
        </w:tabs>
        <w:spacing w:before="240" w:line="259" w:lineRule="auto"/>
        <w:ind w:left="-13" w:right="0" w:firstLine="0"/>
        <w:jc w:val="left"/>
      </w:pPr>
      <w:r>
        <w:rPr>
          <w:b/>
        </w:rPr>
        <w:t>1.5.</w:t>
      </w:r>
      <w:r>
        <w:rPr>
          <w:rFonts w:ascii="Arial" w:eastAsia="Arial" w:hAnsi="Arial" w:cs="Arial"/>
          <w:b/>
        </w:rPr>
        <w:t xml:space="preserve"> </w:t>
      </w:r>
      <w:r>
        <w:rPr>
          <w:rFonts w:ascii="Arial" w:eastAsia="Arial" w:hAnsi="Arial" w:cs="Arial"/>
          <w:b/>
        </w:rPr>
        <w:tab/>
      </w:r>
      <w:r>
        <w:rPr>
          <w:b/>
        </w:rPr>
        <w:t xml:space="preserve">Tujuan. </w:t>
      </w:r>
      <w:r>
        <w:t xml:space="preserve"> </w:t>
      </w:r>
    </w:p>
    <w:p w14:paraId="5DF22E32" w14:textId="56204125" w:rsidR="00F07020" w:rsidRDefault="00D611C0" w:rsidP="00D611C0">
      <w:pPr>
        <w:spacing w:before="240" w:line="259" w:lineRule="auto"/>
        <w:ind w:right="0" w:firstLine="720"/>
        <w:jc w:val="left"/>
      </w:pPr>
      <w:r w:rsidRPr="000C7747">
        <w:t xml:space="preserve">This study aimed to </w:t>
      </w:r>
      <w:proofErr w:type="spellStart"/>
      <w:r w:rsidRPr="000C7747">
        <w:t>analyze</w:t>
      </w:r>
      <w:proofErr w:type="spellEnd"/>
      <w:r w:rsidRPr="000C7747">
        <w:t xml:space="preserve"> the inequality in the potential of PAD between municipalities and regencies, which results in the ratio of PAD to Local Government Budget (APBD) in regencies being significantly different from municipalities.</w:t>
      </w:r>
      <w:r>
        <w:t xml:space="preserve"> </w:t>
      </w:r>
    </w:p>
    <w:p w14:paraId="1E476576" w14:textId="77777777" w:rsidR="00D611C0" w:rsidRDefault="00D611C0" w:rsidP="00D611C0">
      <w:pPr>
        <w:spacing w:before="240" w:line="259" w:lineRule="auto"/>
        <w:ind w:right="0" w:firstLine="720"/>
        <w:jc w:val="left"/>
      </w:pPr>
    </w:p>
    <w:p w14:paraId="2EE32947" w14:textId="2CF4ECE4" w:rsidR="00F07020" w:rsidRDefault="00000000">
      <w:pPr>
        <w:pStyle w:val="Heading1"/>
        <w:ind w:left="-3" w:right="0"/>
      </w:pPr>
      <w:r>
        <w:t>II.</w:t>
      </w:r>
      <w:r>
        <w:rPr>
          <w:rFonts w:ascii="Arial" w:eastAsia="Arial" w:hAnsi="Arial" w:cs="Arial"/>
        </w:rPr>
        <w:t xml:space="preserve"> </w:t>
      </w:r>
      <w:r>
        <w:t>METODE</w:t>
      </w:r>
      <w:r>
        <w:rPr>
          <w:vertAlign w:val="superscript"/>
        </w:rPr>
        <w:t xml:space="preserve"> </w:t>
      </w:r>
    </w:p>
    <w:p w14:paraId="3263A1B5" w14:textId="77777777" w:rsidR="001D79A1" w:rsidRDefault="001D79A1">
      <w:pPr>
        <w:ind w:left="-13" w:right="0"/>
      </w:pPr>
      <w:r w:rsidRPr="001D79A1">
        <w:t xml:space="preserve">This research used a mixed method of descriptive quantitative and descriptive qualitative (Creswell &amp; Creswell, 2018). Quantitative research used percentages, ratios, or averages to </w:t>
      </w:r>
      <w:proofErr w:type="spellStart"/>
      <w:r w:rsidRPr="001D79A1">
        <w:t>analyze</w:t>
      </w:r>
      <w:proofErr w:type="spellEnd"/>
      <w:r w:rsidRPr="001D79A1">
        <w:t xml:space="preserve"> the distribution between local potential and PAD. The qualitative method examined the regular delegation of sources of PAD between tiers of government and the policy of distributing sources of PAD related to local potential. Data was gathered through documentation and literature reviews of government rules, APBD materials, and other documents and literature relevant to this research. The required data includes regencies/municipalities’ APBD statistics in Indonesia, such as the quantity of regional revenue, PAD value, and transfer revenue value. Other data required include demographic data on the population, geographic data, including the area of agriculture, plantations, and mining, and data on the number of tax objects in the regencies/municipalities. Data </w:t>
      </w:r>
      <w:proofErr w:type="spellStart"/>
      <w:r w:rsidRPr="001D79A1">
        <w:t>alse</w:t>
      </w:r>
      <w:proofErr w:type="spellEnd"/>
      <w:r w:rsidRPr="001D79A1">
        <w:t xml:space="preserve"> collected from scientific papers and secondary data which used content validation to control relevancy of different data sources</w:t>
      </w:r>
      <w:r>
        <w:t>.</w:t>
      </w:r>
    </w:p>
    <w:p w14:paraId="20854722" w14:textId="77777777" w:rsidR="001D79A1" w:rsidRDefault="001D79A1">
      <w:pPr>
        <w:ind w:left="-13" w:right="0"/>
      </w:pPr>
      <w:r w:rsidRPr="001D79A1">
        <w:t xml:space="preserve"> Data analysis is conducted through several stages: 1) Comparing the value of the contribution of taxes generated by the central and local governments to total state/regional revenues; 2) Comparing the contribution value of tax kinds between regencies and municipalities to total regency/municipality revenue; 3) Comparing the possibilities of tax kinds possessed by regencies or municipalities; 4) Comparing the contribution value of tax kinds between regencies and municipalities to total regency/municipality revenue; 5) Comparing the possibilities of retribution kinds owned by regencies and municipalities; and 6) Comparing a Public Service Agency (BLU, central government)’s contribution value to a Local Public Service Agency’s total state/regional revenue. </w:t>
      </w:r>
    </w:p>
    <w:p w14:paraId="0B4ED8DD" w14:textId="1BABC89E" w:rsidR="00F07020" w:rsidRDefault="001D79A1">
      <w:pPr>
        <w:ind w:left="-13" w:right="0"/>
      </w:pPr>
      <w:r w:rsidRPr="001D79A1">
        <w:t>Regencies Revenue (PAD) will increase if potential regional income sources are optimized, mainly through sensitization to economic structure and the potential for taxes and local retributions. Inequities Analysis in Local Own-Source Revenue Potential Between Regencies and Municipalities in Indonesia</w:t>
      </w:r>
      <w:r w:rsidR="00326304">
        <w:t xml:space="preserve">. </w:t>
      </w:r>
      <w:r w:rsidRPr="001D79A1">
        <w:t xml:space="preserve">The distribution of local potential is </w:t>
      </w:r>
      <w:proofErr w:type="spellStart"/>
      <w:r w:rsidRPr="001D79A1">
        <w:t>analyzed</w:t>
      </w:r>
      <w:proofErr w:type="spellEnd"/>
      <w:r w:rsidRPr="001D79A1">
        <w:t xml:space="preserve"> to determine the potential of PAD in Indonesian regencies/municipalities as a type of revenue transfer from the central government to local </w:t>
      </w:r>
      <w:r w:rsidRPr="001D79A1">
        <w:lastRenderedPageBreak/>
        <w:t>governments. A local government can be self-suf</w:t>
      </w:r>
      <w:r w:rsidR="007458BA">
        <w:rPr>
          <w:noProof/>
        </w:rPr>
        <w:drawing>
          <wp:anchor distT="0" distB="0" distL="114300" distR="114300" simplePos="0" relativeHeight="251666432" behindDoc="1" locked="0" layoutInCell="1" allowOverlap="0" wp14:anchorId="283C1517" wp14:editId="2401D5F8">
            <wp:simplePos x="0" y="0"/>
            <wp:positionH relativeFrom="column">
              <wp:posOffset>0</wp:posOffset>
            </wp:positionH>
            <wp:positionV relativeFrom="paragraph">
              <wp:posOffset>-635</wp:posOffset>
            </wp:positionV>
            <wp:extent cx="6129020" cy="6129020"/>
            <wp:effectExtent l="0" t="0" r="0" b="0"/>
            <wp:wrapNone/>
            <wp:docPr id="1062978463" name="Picture 1062978463"/>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Pr="001D79A1">
        <w:t>ficient if the value of the PAD contribution to local expenditure needs exceeds the transfer revenue received by the region. On the other hand, PAD’s effectiveness value is high because it is generally always more significant than 100%.</w:t>
      </w:r>
      <w:r w:rsidR="00000000">
        <w:t xml:space="preserve"> </w:t>
      </w:r>
    </w:p>
    <w:p w14:paraId="6AE2536D" w14:textId="77777777" w:rsidR="00F07020" w:rsidRDefault="00000000">
      <w:pPr>
        <w:spacing w:line="259" w:lineRule="auto"/>
        <w:ind w:right="0" w:firstLine="0"/>
        <w:jc w:val="left"/>
      </w:pPr>
      <w:r>
        <w:t xml:space="preserve"> </w:t>
      </w:r>
    </w:p>
    <w:p w14:paraId="1AD6FC2A" w14:textId="77777777" w:rsidR="00326304" w:rsidRDefault="00000000" w:rsidP="00326304">
      <w:pPr>
        <w:pStyle w:val="Heading1"/>
        <w:ind w:left="-3" w:right="0"/>
        <w:rPr>
          <w:b w:val="0"/>
        </w:rPr>
      </w:pPr>
      <w:r>
        <w:t>III.</w:t>
      </w:r>
      <w:r>
        <w:rPr>
          <w:rFonts w:ascii="Arial" w:eastAsia="Arial" w:hAnsi="Arial" w:cs="Arial"/>
        </w:rPr>
        <w:t xml:space="preserve"> </w:t>
      </w:r>
      <w:r>
        <w:t>HASIL</w:t>
      </w:r>
      <w:r>
        <w:rPr>
          <w:vertAlign w:val="superscript"/>
        </w:rPr>
        <w:t xml:space="preserve"> </w:t>
      </w:r>
      <w:r>
        <w:t>DAN</w:t>
      </w:r>
      <w:r>
        <w:rPr>
          <w:vertAlign w:val="superscript"/>
        </w:rPr>
        <w:t xml:space="preserve"> </w:t>
      </w:r>
      <w:r>
        <w:t>PEMBAHASAN</w:t>
      </w:r>
      <w:r>
        <w:rPr>
          <w:vertAlign w:val="superscript"/>
        </w:rPr>
        <w:t xml:space="preserve"> </w:t>
      </w:r>
      <w:r>
        <w:rPr>
          <w:color w:val="CC0000"/>
        </w:rPr>
        <w:t>(60-70%)</w:t>
      </w:r>
      <w:r>
        <w:rPr>
          <w:b w:val="0"/>
        </w:rPr>
        <w:t xml:space="preserve"> </w:t>
      </w:r>
    </w:p>
    <w:p w14:paraId="15F2EC64" w14:textId="76A108AE" w:rsidR="00F07020" w:rsidRDefault="00000000" w:rsidP="00326304">
      <w:pPr>
        <w:pStyle w:val="Heading1"/>
        <w:ind w:left="-3" w:right="0"/>
      </w:pPr>
      <w:r>
        <w:t xml:space="preserve"> </w:t>
      </w:r>
    </w:p>
    <w:p w14:paraId="236379AB" w14:textId="28542B38" w:rsidR="00F07020" w:rsidRDefault="00000000">
      <w:pPr>
        <w:pStyle w:val="Heading2"/>
        <w:ind w:left="-3" w:right="0"/>
      </w:pPr>
      <w:r>
        <w:t xml:space="preserve">3.1. </w:t>
      </w:r>
      <w:r w:rsidR="00326304" w:rsidRPr="00326304">
        <w:t>History of PAD Sources Handover</w:t>
      </w:r>
    </w:p>
    <w:p w14:paraId="5F3EB2DA" w14:textId="77777777" w:rsidR="00326304" w:rsidRDefault="00326304" w:rsidP="007458BA">
      <w:pPr>
        <w:ind w:left="-11" w:right="0" w:firstLine="731"/>
      </w:pPr>
      <w:r w:rsidRPr="00326304">
        <w:t>The handover of PAD sources in Indonesia occurred before the Reformation in 1998. Law No. 22/1948 concerning on Determination of basic rules regarding Self-Government in regions that have the right to regulate and manage their internal affairs mandated that local governments no longer depend on the central government. Prior to the enactment of the law, local governments relied heavily on the shortfall cover system (</w:t>
      </w:r>
      <w:proofErr w:type="spellStart"/>
      <w:r w:rsidRPr="00326304">
        <w:t>Sluitpos</w:t>
      </w:r>
      <w:proofErr w:type="spellEnd"/>
      <w:r w:rsidRPr="00326304">
        <w:t xml:space="preserve">). Therefore, local governments are mandated to seek their income through the submission of national tax sources. Following previous advances, Law No. 32/1956 concerning financial balance between the state and the autonomous regions, required the central government to provide additional revenue to local governments outside of taxation by dispersing earnings from taxes produced by the central government to local governments through donations or subsidies. </w:t>
      </w:r>
    </w:p>
    <w:p w14:paraId="1D29F03C" w14:textId="77777777" w:rsidR="00326304" w:rsidRDefault="00326304" w:rsidP="007458BA">
      <w:pPr>
        <w:ind w:left="-11" w:right="0" w:firstLine="731"/>
      </w:pPr>
      <w:r w:rsidRPr="00326304">
        <w:t xml:space="preserve">The law addressing percentage distribution in Law No. 32/1956 concerning financial balance between the state and the autonomous regions was elaborated through Government regulation No. 12/1958 concerning determination of the percentage of revenue from state taxes for regions, which specifies that the central government gives subsidies to local governments based on local demands. Meanwhile, donations are given to regions that cannot meet local needs. Following the enactment of Emergency Decree No. 11/1957 concerning general regional tax regulations, revenue sources were expanded to the government under Law No. 32/1956. Meanwhile, submitting local retribution sources is regulated in Emergency Decree No. 12/1957. Based on this law, local governments can collect six revenue sources. </w:t>
      </w:r>
    </w:p>
    <w:p w14:paraId="261904A1" w14:textId="77777777" w:rsidR="00F85031" w:rsidRDefault="00326304" w:rsidP="007458BA">
      <w:pPr>
        <w:ind w:left="-11" w:right="0" w:firstLine="731"/>
      </w:pPr>
      <w:r w:rsidRPr="00326304">
        <w:t xml:space="preserve">The handover of PAD itself during the New Order period was regulated in Law No. 18/1997 concerning regional taxes and levies. This regulation provides level 1 regions with tax sources, including motor vehicle and fuel tax. As for the handover of local tax sources to tier 2 regions, as many as 6 were given to tier 2 regions. Meanwhile, the handover of local retribution sources was divided into 3 types of local retribution sources: general service, business service, and inevitable licensing retributions. The specifics of the levies imposed are returned to each region. </w:t>
      </w:r>
    </w:p>
    <w:p w14:paraId="4E70C9E6" w14:textId="600572E4" w:rsidR="00F85031" w:rsidRDefault="00326304" w:rsidP="007458BA">
      <w:pPr>
        <w:ind w:left="-11" w:right="0" w:firstLine="731"/>
      </w:pPr>
      <w:r w:rsidRPr="00326304">
        <w:t xml:space="preserve">Following the Reformation in 1998, the transfer of PAD sources was re-regulated by Law No. 25/2000 on national development planning, which established regional tax and retribution sources and mandated balancing funds for local governments to encourage regional development implementation. Specifically, the sources of local taxes and retributions are regulated in Law No. 28/2009 concerning local taxes and </w:t>
      </w:r>
      <w:proofErr w:type="gramStart"/>
      <w:r w:rsidRPr="00326304">
        <w:t>levies..</w:t>
      </w:r>
      <w:proofErr w:type="gramEnd"/>
      <w:r w:rsidRPr="00326304">
        <w:t xml:space="preserve"> The law provides 5 provincial and local tax sources and 11 regencies/municipalities tax sources. In the submission of local retribution sources, there are 14 sources on public services, 11 on business services, and 5 on specific licenses. </w:t>
      </w:r>
    </w:p>
    <w:p w14:paraId="54FA1EB4" w14:textId="58B4A904" w:rsidR="00F85031" w:rsidRDefault="00326304" w:rsidP="007458BA">
      <w:pPr>
        <w:ind w:left="-11" w:right="0" w:firstLine="731"/>
      </w:pPr>
      <w:r w:rsidRPr="00326304">
        <w:t>In the current era, Law No.</w:t>
      </w:r>
      <w:r w:rsidR="007458BA" w:rsidRPr="007458BA">
        <w:rPr>
          <w:noProof/>
        </w:rPr>
        <w:t xml:space="preserve"> </w:t>
      </w:r>
      <w:r w:rsidRPr="00326304">
        <w:t xml:space="preserve"> 28/2009 on local taxes and levies has been replaced by Law No. 1/2022 concerning financial relations between national-regional. There are several additional sources of PAD. Provincial regions are mentioned to get 2 additional tax sources, Heavy Equipment Tax and </w:t>
      </w:r>
      <w:r w:rsidR="007458BA">
        <w:rPr>
          <w:noProof/>
        </w:rPr>
        <w:lastRenderedPageBreak/>
        <w:drawing>
          <wp:anchor distT="0" distB="0" distL="114300" distR="114300" simplePos="0" relativeHeight="251668480" behindDoc="1" locked="0" layoutInCell="1" allowOverlap="0" wp14:anchorId="25C4DCCA" wp14:editId="0C56FF29">
            <wp:simplePos x="0" y="0"/>
            <wp:positionH relativeFrom="column">
              <wp:posOffset>0</wp:posOffset>
            </wp:positionH>
            <wp:positionV relativeFrom="paragraph">
              <wp:posOffset>-635</wp:posOffset>
            </wp:positionV>
            <wp:extent cx="6129020" cy="6129020"/>
            <wp:effectExtent l="0" t="0" r="0" b="0"/>
            <wp:wrapNone/>
            <wp:docPr id="721687282" name="Picture 72168728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proofErr w:type="spellStart"/>
      <w:r w:rsidRPr="00326304">
        <w:t>Opsen</w:t>
      </w:r>
      <w:proofErr w:type="spellEnd"/>
      <w:r w:rsidRPr="00326304">
        <w:t xml:space="preserve"> Tax on Non-Metallic Minerals and Rocks. Meanwhile, for regencies/municipalities, several types of tax sources are merged: Specific Goods and Services Tax (a merger of hotel and restaurant taxes) and Entertainment Tax. In addition, it also gets 2 </w:t>
      </w:r>
      <w:proofErr w:type="spellStart"/>
      <w:r w:rsidRPr="00326304">
        <w:t>Opsen</w:t>
      </w:r>
      <w:proofErr w:type="spellEnd"/>
      <w:r w:rsidRPr="00326304">
        <w:t xml:space="preserve">: Motor Vehicle Tax and Motor Vehicle Ownership Transfer Tax. </w:t>
      </w:r>
    </w:p>
    <w:p w14:paraId="0A8B4EE6" w14:textId="7E892197" w:rsidR="00326304" w:rsidRDefault="00326304" w:rsidP="007458BA">
      <w:pPr>
        <w:ind w:left="-11" w:right="0" w:firstLine="731"/>
      </w:pPr>
      <w:r w:rsidRPr="00326304">
        <w:t>Despite incentives for regions to generate their income, the central government has offered financial support or transferred funds to local governments to meet their regional expenditure needs since the Old Order period. One reason is that since the post-reform era, PAD has only focused on local tax revenue (Nasir, 2019). PAD, which is only focused on local taxes, causes the revenue received by the central government today to be far more significant than that generated by the region, around 29%. This issue also existed in previous government ages when the central government’s revenue was greater than that of the regional</w:t>
      </w:r>
      <w:r w:rsidR="00000000">
        <w:t xml:space="preserve">.  </w:t>
      </w:r>
    </w:p>
    <w:p w14:paraId="3A1BCAA4" w14:textId="73A15D37" w:rsidR="00F07020" w:rsidRDefault="00000000" w:rsidP="00FA2F47">
      <w:pPr>
        <w:pStyle w:val="Heading2"/>
        <w:spacing w:before="240"/>
        <w:ind w:left="-3" w:right="0"/>
      </w:pPr>
      <w:r>
        <w:t xml:space="preserve">3.2. </w:t>
      </w:r>
      <w:r w:rsidR="00326304" w:rsidRPr="00326304">
        <w:t>PAD Analysis</w:t>
      </w:r>
      <w:r>
        <w:t xml:space="preserve">. </w:t>
      </w:r>
    </w:p>
    <w:p w14:paraId="7961E4DB" w14:textId="20317D80" w:rsidR="00F85031" w:rsidRDefault="00F85031" w:rsidP="00FA2F47">
      <w:pPr>
        <w:spacing w:before="240" w:line="259" w:lineRule="auto"/>
        <w:ind w:right="0" w:firstLine="0"/>
        <w:jc w:val="left"/>
      </w:pPr>
      <w:r w:rsidRPr="00F85031">
        <w:t xml:space="preserve">PAD is measured by </w:t>
      </w:r>
      <w:proofErr w:type="spellStart"/>
      <w:r w:rsidRPr="00F85031">
        <w:t>analyzing</w:t>
      </w:r>
      <w:proofErr w:type="spellEnd"/>
      <w:r w:rsidRPr="00F85031">
        <w:t xml:space="preserve"> and comparing PAD trends over the last few years and the percentage of each PAD source to Regional Revenue. </w:t>
      </w:r>
    </w:p>
    <w:p w14:paraId="78218EDB" w14:textId="405C9CC3" w:rsidR="00F85031" w:rsidRPr="00F85031" w:rsidRDefault="00F85031" w:rsidP="00FA2F47">
      <w:pPr>
        <w:spacing w:before="240" w:line="259" w:lineRule="auto"/>
        <w:ind w:right="0" w:firstLine="0"/>
        <w:jc w:val="left"/>
        <w:rPr>
          <w:b/>
          <w:bCs/>
        </w:rPr>
      </w:pPr>
      <w:r w:rsidRPr="00F85031">
        <w:rPr>
          <w:b/>
          <w:bCs/>
        </w:rPr>
        <w:t xml:space="preserve">National PAD </w:t>
      </w:r>
    </w:p>
    <w:p w14:paraId="21BDE745" w14:textId="019F48C9" w:rsidR="00F85031" w:rsidRDefault="00F85031" w:rsidP="007458BA">
      <w:pPr>
        <w:spacing w:line="259" w:lineRule="auto"/>
        <w:ind w:right="0" w:firstLine="0"/>
        <w:jc w:val="left"/>
      </w:pPr>
      <w:r w:rsidRPr="00F85031">
        <w:t>The percentage value of PAD to revenue can be used to determine how much revenue the region can earn independently by extracting PAD sources provided by the central government to the local</w:t>
      </w:r>
      <w:r>
        <w:t xml:space="preserve"> </w:t>
      </w:r>
      <w:r w:rsidRPr="00F85031">
        <w:t xml:space="preserve">government to </w:t>
      </w:r>
      <w:proofErr w:type="spellStart"/>
      <w:r w:rsidRPr="00F85031">
        <w:t>fulfill</w:t>
      </w:r>
      <w:proofErr w:type="spellEnd"/>
      <w:r w:rsidRPr="00F85031">
        <w:t xml:space="preserve"> the local government’s expenses needs. The smaller the percentage of PAD</w:t>
      </w:r>
      <w:r>
        <w:t xml:space="preserve"> </w:t>
      </w:r>
      <w:r w:rsidRPr="00F85031">
        <w:t>to regional revenue, the smaller the contribution of PAD sources to total regional revenue. Table 1 shows the percentage of PAD and its sources of regional revenue.</w:t>
      </w:r>
    </w:p>
    <w:p w14:paraId="73BEFCC3" w14:textId="77777777" w:rsidR="00F85031" w:rsidRDefault="00F85031" w:rsidP="007458BA">
      <w:pPr>
        <w:pStyle w:val="Caption"/>
        <w:keepNext/>
        <w:spacing w:after="0"/>
        <w:jc w:val="both"/>
        <w:rPr>
          <w:rFonts w:cs="Times New Roman"/>
          <w:szCs w:val="20"/>
          <w:lang w:val="it-IT"/>
        </w:rPr>
      </w:pPr>
      <w:r w:rsidRPr="004E4AAF">
        <w:rPr>
          <w:rFonts w:cs="Times New Roman"/>
          <w:szCs w:val="20"/>
          <w:lang w:val="it-IT"/>
        </w:rPr>
        <w:t xml:space="preserve">Table </w:t>
      </w:r>
      <w:r w:rsidRPr="004154C3">
        <w:rPr>
          <w:rFonts w:cs="Times New Roman"/>
          <w:szCs w:val="20"/>
        </w:rPr>
        <w:fldChar w:fldCharType="begin"/>
      </w:r>
      <w:r w:rsidRPr="004154C3">
        <w:rPr>
          <w:rFonts w:cs="Times New Roman"/>
          <w:szCs w:val="20"/>
          <w:lang w:val="it-IT"/>
        </w:rPr>
        <w:instrText xml:space="preserve"> SEQ Table \* ARABIC </w:instrText>
      </w:r>
      <w:r w:rsidRPr="004154C3">
        <w:rPr>
          <w:rFonts w:cs="Times New Roman"/>
          <w:szCs w:val="20"/>
        </w:rPr>
        <w:fldChar w:fldCharType="separate"/>
      </w:r>
      <w:r>
        <w:rPr>
          <w:rFonts w:cs="Times New Roman"/>
          <w:noProof/>
          <w:szCs w:val="20"/>
          <w:lang w:val="it-IT"/>
        </w:rPr>
        <w:t>1</w:t>
      </w:r>
      <w:r w:rsidRPr="004154C3">
        <w:rPr>
          <w:rFonts w:cs="Times New Roman"/>
          <w:szCs w:val="20"/>
        </w:rPr>
        <w:fldChar w:fldCharType="end"/>
      </w:r>
      <w:r w:rsidRPr="004154C3">
        <w:rPr>
          <w:rFonts w:cs="Times New Roman"/>
          <w:szCs w:val="20"/>
          <w:lang w:val="it-IT"/>
        </w:rPr>
        <w:t xml:space="preserve">. </w:t>
      </w:r>
      <w:r w:rsidRPr="004E4AAF">
        <w:rPr>
          <w:rFonts w:cs="Times New Roman"/>
          <w:szCs w:val="20"/>
          <w:lang w:val="it-IT"/>
        </w:rPr>
        <w:t xml:space="preserve">Comparison of Percentage Ratio of PAD to Total </w:t>
      </w:r>
      <w:r>
        <w:rPr>
          <w:rFonts w:cs="Times New Roman"/>
          <w:szCs w:val="20"/>
          <w:lang w:val="it-IT"/>
        </w:rPr>
        <w:t>Regional revenue</w:t>
      </w:r>
    </w:p>
    <w:p w14:paraId="00F3B875" w14:textId="77777777" w:rsidR="00F85031" w:rsidRPr="00D84C50" w:rsidRDefault="00F85031" w:rsidP="007458BA">
      <w:pPr>
        <w:rPr>
          <w:lang w:val="it-IT"/>
        </w:rPr>
      </w:pPr>
    </w:p>
    <w:tbl>
      <w:tblPr>
        <w:tblStyle w:val="TableGrid0"/>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68"/>
        <w:gridCol w:w="1378"/>
        <w:gridCol w:w="1339"/>
        <w:gridCol w:w="1675"/>
        <w:gridCol w:w="2353"/>
        <w:gridCol w:w="1882"/>
      </w:tblGrid>
      <w:tr w:rsidR="00F85031" w:rsidRPr="001D79A4" w14:paraId="64204C9F" w14:textId="77777777" w:rsidTr="00E64CE3">
        <w:trPr>
          <w:trHeight w:val="290"/>
        </w:trPr>
        <w:tc>
          <w:tcPr>
            <w:tcW w:w="815" w:type="pct"/>
          </w:tcPr>
          <w:p w14:paraId="20F81E79" w14:textId="77777777" w:rsidR="00F85031" w:rsidRPr="004154C3" w:rsidRDefault="00F85031" w:rsidP="007458BA">
            <w:pPr>
              <w:contextualSpacing/>
              <w:jc w:val="center"/>
              <w:rPr>
                <w:rFonts w:eastAsia="Calibri"/>
                <w:b/>
                <w:bCs/>
                <w:sz w:val="12"/>
                <w:szCs w:val="12"/>
              </w:rPr>
            </w:pPr>
            <w:r>
              <w:rPr>
                <w:rFonts w:eastAsia="Calibri"/>
                <w:b/>
                <w:bCs/>
                <w:sz w:val="12"/>
                <w:szCs w:val="12"/>
              </w:rPr>
              <w:t>Years</w:t>
            </w:r>
          </w:p>
        </w:tc>
        <w:tc>
          <w:tcPr>
            <w:tcW w:w="861" w:type="pct"/>
            <w:noWrap/>
            <w:hideMark/>
          </w:tcPr>
          <w:p w14:paraId="69B5C3C0" w14:textId="77777777" w:rsidR="00F85031" w:rsidRPr="004154C3" w:rsidRDefault="00F85031" w:rsidP="007458BA">
            <w:pPr>
              <w:contextualSpacing/>
              <w:jc w:val="center"/>
              <w:rPr>
                <w:rFonts w:eastAsia="Calibri"/>
                <w:b/>
                <w:bCs/>
                <w:sz w:val="12"/>
                <w:szCs w:val="12"/>
              </w:rPr>
            </w:pPr>
            <w:r>
              <w:rPr>
                <w:rFonts w:eastAsia="Calibri"/>
                <w:b/>
                <w:bCs/>
                <w:sz w:val="12"/>
                <w:szCs w:val="12"/>
              </w:rPr>
              <w:t>Perc. of PAD</w:t>
            </w:r>
          </w:p>
        </w:tc>
        <w:tc>
          <w:tcPr>
            <w:tcW w:w="861" w:type="pct"/>
            <w:noWrap/>
            <w:hideMark/>
          </w:tcPr>
          <w:p w14:paraId="7D238024" w14:textId="77777777" w:rsidR="00F85031" w:rsidRPr="004154C3" w:rsidRDefault="00F85031" w:rsidP="007458BA">
            <w:pPr>
              <w:contextualSpacing/>
              <w:jc w:val="center"/>
              <w:rPr>
                <w:rFonts w:eastAsia="Calibri"/>
                <w:b/>
                <w:bCs/>
                <w:sz w:val="12"/>
                <w:szCs w:val="12"/>
              </w:rPr>
            </w:pPr>
            <w:r>
              <w:rPr>
                <w:rFonts w:eastAsia="Calibri"/>
                <w:b/>
                <w:bCs/>
                <w:sz w:val="12"/>
                <w:szCs w:val="12"/>
              </w:rPr>
              <w:t>Perc. of Tax</w:t>
            </w:r>
          </w:p>
        </w:tc>
        <w:tc>
          <w:tcPr>
            <w:tcW w:w="821" w:type="pct"/>
            <w:noWrap/>
            <w:hideMark/>
          </w:tcPr>
          <w:p w14:paraId="55F7D013" w14:textId="77777777" w:rsidR="00F85031" w:rsidRPr="004154C3" w:rsidRDefault="00F85031" w:rsidP="007458BA">
            <w:pPr>
              <w:contextualSpacing/>
              <w:jc w:val="center"/>
              <w:rPr>
                <w:rFonts w:eastAsia="Calibri"/>
                <w:b/>
                <w:bCs/>
                <w:sz w:val="12"/>
                <w:szCs w:val="12"/>
              </w:rPr>
            </w:pPr>
            <w:r>
              <w:rPr>
                <w:rFonts w:eastAsia="Calibri"/>
                <w:b/>
                <w:bCs/>
                <w:sz w:val="12"/>
                <w:szCs w:val="12"/>
              </w:rPr>
              <w:t>Perc. of Retribution</w:t>
            </w:r>
          </w:p>
        </w:tc>
        <w:tc>
          <w:tcPr>
            <w:tcW w:w="821" w:type="pct"/>
            <w:noWrap/>
            <w:hideMark/>
          </w:tcPr>
          <w:p w14:paraId="1EF6516E" w14:textId="77777777" w:rsidR="00F85031" w:rsidRPr="004154C3" w:rsidRDefault="00F85031" w:rsidP="007458BA">
            <w:pPr>
              <w:contextualSpacing/>
              <w:jc w:val="center"/>
              <w:rPr>
                <w:rFonts w:eastAsia="Calibri"/>
                <w:b/>
                <w:bCs/>
                <w:sz w:val="12"/>
                <w:szCs w:val="12"/>
              </w:rPr>
            </w:pPr>
            <w:r>
              <w:rPr>
                <w:rFonts w:eastAsia="Calibri"/>
                <w:b/>
                <w:bCs/>
                <w:sz w:val="12"/>
                <w:szCs w:val="12"/>
              </w:rPr>
              <w:t>Perc. of Separated Regional Wealth</w:t>
            </w:r>
          </w:p>
        </w:tc>
        <w:tc>
          <w:tcPr>
            <w:tcW w:w="821" w:type="pct"/>
            <w:noWrap/>
            <w:hideMark/>
          </w:tcPr>
          <w:p w14:paraId="6A9EAB58" w14:textId="77777777" w:rsidR="00F85031" w:rsidRPr="004154C3" w:rsidRDefault="00F85031" w:rsidP="007458BA">
            <w:pPr>
              <w:contextualSpacing/>
              <w:jc w:val="center"/>
              <w:rPr>
                <w:rFonts w:eastAsia="Calibri"/>
                <w:b/>
                <w:bCs/>
                <w:sz w:val="12"/>
                <w:szCs w:val="12"/>
                <w:lang w:val="it-IT"/>
              </w:rPr>
            </w:pPr>
            <w:r>
              <w:rPr>
                <w:rFonts w:eastAsia="Calibri"/>
                <w:b/>
                <w:bCs/>
                <w:sz w:val="12"/>
                <w:szCs w:val="12"/>
                <w:lang w:val="it-IT"/>
              </w:rPr>
              <w:t>Perc. Of Others PAD YS</w:t>
            </w:r>
          </w:p>
        </w:tc>
      </w:tr>
      <w:tr w:rsidR="00F85031" w:rsidRPr="0028132D" w14:paraId="32F048A1" w14:textId="77777777" w:rsidTr="00E64CE3">
        <w:trPr>
          <w:trHeight w:val="290"/>
        </w:trPr>
        <w:tc>
          <w:tcPr>
            <w:tcW w:w="815" w:type="pct"/>
          </w:tcPr>
          <w:p w14:paraId="4628610E" w14:textId="77777777" w:rsidR="00F85031" w:rsidRPr="004154C3" w:rsidRDefault="00F85031" w:rsidP="007458BA">
            <w:pPr>
              <w:contextualSpacing/>
              <w:jc w:val="center"/>
              <w:rPr>
                <w:rFonts w:eastAsia="Calibri"/>
                <w:sz w:val="12"/>
                <w:szCs w:val="12"/>
                <w:lang w:val="it-IT"/>
              </w:rPr>
            </w:pPr>
            <w:r w:rsidRPr="004154C3">
              <w:rPr>
                <w:rFonts w:eastAsia="Calibri"/>
                <w:sz w:val="12"/>
                <w:szCs w:val="12"/>
                <w:lang w:val="it-IT"/>
              </w:rPr>
              <w:t>2018</w:t>
            </w:r>
          </w:p>
        </w:tc>
        <w:tc>
          <w:tcPr>
            <w:tcW w:w="861" w:type="pct"/>
            <w:noWrap/>
            <w:hideMark/>
          </w:tcPr>
          <w:p w14:paraId="16202224" w14:textId="77777777" w:rsidR="00F85031" w:rsidRPr="004154C3" w:rsidRDefault="00F85031" w:rsidP="007458BA">
            <w:pPr>
              <w:contextualSpacing/>
              <w:jc w:val="center"/>
              <w:rPr>
                <w:rFonts w:eastAsia="Calibri"/>
                <w:sz w:val="12"/>
                <w:szCs w:val="12"/>
              </w:rPr>
            </w:pPr>
            <w:r w:rsidRPr="004154C3">
              <w:rPr>
                <w:rFonts w:eastAsia="Calibri"/>
                <w:sz w:val="12"/>
                <w:szCs w:val="12"/>
              </w:rPr>
              <w:t>24.65%</w:t>
            </w:r>
          </w:p>
        </w:tc>
        <w:tc>
          <w:tcPr>
            <w:tcW w:w="861" w:type="pct"/>
            <w:noWrap/>
            <w:hideMark/>
          </w:tcPr>
          <w:p w14:paraId="69CA8090" w14:textId="77777777" w:rsidR="00F85031" w:rsidRPr="004154C3" w:rsidRDefault="00F85031" w:rsidP="007458BA">
            <w:pPr>
              <w:contextualSpacing/>
              <w:jc w:val="center"/>
              <w:rPr>
                <w:rFonts w:eastAsia="Calibri"/>
                <w:sz w:val="12"/>
                <w:szCs w:val="12"/>
              </w:rPr>
            </w:pPr>
            <w:r w:rsidRPr="004154C3">
              <w:rPr>
                <w:rFonts w:eastAsia="Calibri"/>
                <w:sz w:val="12"/>
                <w:szCs w:val="12"/>
              </w:rPr>
              <w:t>16.88%</w:t>
            </w:r>
          </w:p>
        </w:tc>
        <w:tc>
          <w:tcPr>
            <w:tcW w:w="821" w:type="pct"/>
            <w:noWrap/>
            <w:hideMark/>
          </w:tcPr>
          <w:p w14:paraId="18B30B14" w14:textId="77777777" w:rsidR="00F85031" w:rsidRPr="004154C3" w:rsidRDefault="00F85031" w:rsidP="007458BA">
            <w:pPr>
              <w:contextualSpacing/>
              <w:jc w:val="center"/>
              <w:rPr>
                <w:rFonts w:eastAsia="Calibri"/>
                <w:sz w:val="12"/>
                <w:szCs w:val="12"/>
              </w:rPr>
            </w:pPr>
            <w:r w:rsidRPr="004154C3">
              <w:rPr>
                <w:rFonts w:eastAsia="Calibri"/>
                <w:sz w:val="12"/>
                <w:szCs w:val="12"/>
              </w:rPr>
              <w:t>1.11%</w:t>
            </w:r>
          </w:p>
        </w:tc>
        <w:tc>
          <w:tcPr>
            <w:tcW w:w="821" w:type="pct"/>
            <w:noWrap/>
            <w:hideMark/>
          </w:tcPr>
          <w:p w14:paraId="27BCADEC" w14:textId="77777777" w:rsidR="00F85031" w:rsidRPr="004154C3" w:rsidRDefault="00F85031" w:rsidP="007458BA">
            <w:pPr>
              <w:contextualSpacing/>
              <w:jc w:val="center"/>
              <w:rPr>
                <w:rFonts w:eastAsia="Calibri"/>
                <w:sz w:val="12"/>
                <w:szCs w:val="12"/>
              </w:rPr>
            </w:pPr>
            <w:r w:rsidRPr="004154C3">
              <w:rPr>
                <w:rFonts w:eastAsia="Calibri"/>
                <w:sz w:val="12"/>
                <w:szCs w:val="12"/>
              </w:rPr>
              <w:t>0.78%</w:t>
            </w:r>
          </w:p>
        </w:tc>
        <w:tc>
          <w:tcPr>
            <w:tcW w:w="821" w:type="pct"/>
            <w:noWrap/>
            <w:hideMark/>
          </w:tcPr>
          <w:p w14:paraId="0C68FE4B" w14:textId="77777777" w:rsidR="00F85031" w:rsidRPr="004154C3" w:rsidRDefault="00F85031" w:rsidP="007458BA">
            <w:pPr>
              <w:contextualSpacing/>
              <w:jc w:val="center"/>
              <w:rPr>
                <w:rFonts w:eastAsia="Calibri"/>
                <w:sz w:val="12"/>
                <w:szCs w:val="12"/>
              </w:rPr>
            </w:pPr>
            <w:r w:rsidRPr="004154C3">
              <w:rPr>
                <w:rFonts w:eastAsia="Calibri"/>
                <w:sz w:val="12"/>
                <w:szCs w:val="12"/>
              </w:rPr>
              <w:t>5.88%</w:t>
            </w:r>
          </w:p>
        </w:tc>
      </w:tr>
      <w:tr w:rsidR="00F85031" w:rsidRPr="0028132D" w14:paraId="39AA3234" w14:textId="77777777" w:rsidTr="00E64CE3">
        <w:trPr>
          <w:trHeight w:val="290"/>
        </w:trPr>
        <w:tc>
          <w:tcPr>
            <w:tcW w:w="815" w:type="pct"/>
          </w:tcPr>
          <w:p w14:paraId="471F29F8" w14:textId="77777777" w:rsidR="00F85031" w:rsidRPr="004154C3" w:rsidRDefault="00F85031" w:rsidP="007458BA">
            <w:pPr>
              <w:contextualSpacing/>
              <w:jc w:val="center"/>
              <w:rPr>
                <w:rFonts w:eastAsia="Calibri"/>
                <w:sz w:val="12"/>
                <w:szCs w:val="12"/>
              </w:rPr>
            </w:pPr>
            <w:r w:rsidRPr="004154C3">
              <w:rPr>
                <w:rFonts w:eastAsia="Calibri"/>
                <w:sz w:val="12"/>
                <w:szCs w:val="12"/>
              </w:rPr>
              <w:t>2019</w:t>
            </w:r>
          </w:p>
        </w:tc>
        <w:tc>
          <w:tcPr>
            <w:tcW w:w="861" w:type="pct"/>
            <w:noWrap/>
            <w:hideMark/>
          </w:tcPr>
          <w:p w14:paraId="1199F500" w14:textId="77777777" w:rsidR="00F85031" w:rsidRPr="004154C3" w:rsidRDefault="00F85031" w:rsidP="007458BA">
            <w:pPr>
              <w:contextualSpacing/>
              <w:jc w:val="center"/>
              <w:rPr>
                <w:rFonts w:eastAsia="Calibri"/>
                <w:sz w:val="12"/>
                <w:szCs w:val="12"/>
              </w:rPr>
            </w:pPr>
            <w:r w:rsidRPr="004154C3">
              <w:rPr>
                <w:rFonts w:eastAsia="Calibri"/>
                <w:sz w:val="12"/>
                <w:szCs w:val="12"/>
              </w:rPr>
              <w:t>24.78%</w:t>
            </w:r>
          </w:p>
        </w:tc>
        <w:tc>
          <w:tcPr>
            <w:tcW w:w="861" w:type="pct"/>
            <w:noWrap/>
            <w:hideMark/>
          </w:tcPr>
          <w:p w14:paraId="5A58B5AC" w14:textId="77777777" w:rsidR="00F85031" w:rsidRPr="004154C3" w:rsidRDefault="00F85031" w:rsidP="007458BA">
            <w:pPr>
              <w:contextualSpacing/>
              <w:jc w:val="center"/>
              <w:rPr>
                <w:rFonts w:eastAsia="Calibri"/>
                <w:sz w:val="12"/>
                <w:szCs w:val="12"/>
              </w:rPr>
            </w:pPr>
            <w:r w:rsidRPr="004154C3">
              <w:rPr>
                <w:rFonts w:eastAsia="Calibri"/>
                <w:sz w:val="12"/>
                <w:szCs w:val="12"/>
              </w:rPr>
              <w:t>17.50%</w:t>
            </w:r>
          </w:p>
        </w:tc>
        <w:tc>
          <w:tcPr>
            <w:tcW w:w="821" w:type="pct"/>
            <w:noWrap/>
            <w:hideMark/>
          </w:tcPr>
          <w:p w14:paraId="183E7BED" w14:textId="77777777" w:rsidR="00F85031" w:rsidRPr="004154C3" w:rsidRDefault="00F85031" w:rsidP="007458BA">
            <w:pPr>
              <w:contextualSpacing/>
              <w:jc w:val="center"/>
              <w:rPr>
                <w:rFonts w:eastAsia="Calibri"/>
                <w:sz w:val="12"/>
                <w:szCs w:val="12"/>
              </w:rPr>
            </w:pPr>
            <w:r w:rsidRPr="004154C3">
              <w:rPr>
                <w:rFonts w:eastAsia="Calibri"/>
                <w:sz w:val="12"/>
                <w:szCs w:val="12"/>
              </w:rPr>
              <w:t>1.01%</w:t>
            </w:r>
          </w:p>
        </w:tc>
        <w:tc>
          <w:tcPr>
            <w:tcW w:w="821" w:type="pct"/>
            <w:noWrap/>
            <w:hideMark/>
          </w:tcPr>
          <w:p w14:paraId="3024F0EA" w14:textId="77777777" w:rsidR="00F85031" w:rsidRPr="004154C3" w:rsidRDefault="00F85031" w:rsidP="007458BA">
            <w:pPr>
              <w:contextualSpacing/>
              <w:jc w:val="center"/>
              <w:rPr>
                <w:rFonts w:eastAsia="Calibri"/>
                <w:sz w:val="12"/>
                <w:szCs w:val="12"/>
              </w:rPr>
            </w:pPr>
            <w:r w:rsidRPr="004154C3">
              <w:rPr>
                <w:rFonts w:eastAsia="Calibri"/>
                <w:sz w:val="12"/>
                <w:szCs w:val="12"/>
              </w:rPr>
              <w:t>0.77%</w:t>
            </w:r>
          </w:p>
        </w:tc>
        <w:tc>
          <w:tcPr>
            <w:tcW w:w="821" w:type="pct"/>
            <w:noWrap/>
            <w:hideMark/>
          </w:tcPr>
          <w:p w14:paraId="143B153B" w14:textId="77777777" w:rsidR="00F85031" w:rsidRPr="004154C3" w:rsidRDefault="00F85031" w:rsidP="007458BA">
            <w:pPr>
              <w:contextualSpacing/>
              <w:jc w:val="center"/>
              <w:rPr>
                <w:rFonts w:eastAsia="Calibri"/>
                <w:sz w:val="12"/>
                <w:szCs w:val="12"/>
              </w:rPr>
            </w:pPr>
            <w:r w:rsidRPr="004154C3">
              <w:rPr>
                <w:rFonts w:eastAsia="Calibri"/>
                <w:sz w:val="12"/>
                <w:szCs w:val="12"/>
              </w:rPr>
              <w:t>5.50%</w:t>
            </w:r>
          </w:p>
        </w:tc>
      </w:tr>
      <w:tr w:rsidR="00F85031" w:rsidRPr="0028132D" w14:paraId="7F176C22" w14:textId="77777777" w:rsidTr="00E64CE3">
        <w:trPr>
          <w:trHeight w:val="290"/>
        </w:trPr>
        <w:tc>
          <w:tcPr>
            <w:tcW w:w="815" w:type="pct"/>
          </w:tcPr>
          <w:p w14:paraId="5154D074" w14:textId="77777777" w:rsidR="00F85031" w:rsidRPr="004154C3" w:rsidRDefault="00F85031" w:rsidP="007458BA">
            <w:pPr>
              <w:contextualSpacing/>
              <w:jc w:val="center"/>
              <w:rPr>
                <w:rFonts w:eastAsia="Calibri"/>
                <w:sz w:val="12"/>
                <w:szCs w:val="12"/>
              </w:rPr>
            </w:pPr>
            <w:r w:rsidRPr="004154C3">
              <w:rPr>
                <w:rFonts w:eastAsia="Calibri"/>
                <w:sz w:val="12"/>
                <w:szCs w:val="12"/>
              </w:rPr>
              <w:t>2020</w:t>
            </w:r>
          </w:p>
        </w:tc>
        <w:tc>
          <w:tcPr>
            <w:tcW w:w="861" w:type="pct"/>
            <w:noWrap/>
            <w:hideMark/>
          </w:tcPr>
          <w:p w14:paraId="3DCDCAA2" w14:textId="77777777" w:rsidR="00F85031" w:rsidRPr="004154C3" w:rsidRDefault="00F85031" w:rsidP="007458BA">
            <w:pPr>
              <w:contextualSpacing/>
              <w:jc w:val="center"/>
              <w:rPr>
                <w:rFonts w:eastAsia="Calibri"/>
                <w:sz w:val="12"/>
                <w:szCs w:val="12"/>
              </w:rPr>
            </w:pPr>
            <w:r w:rsidRPr="004154C3">
              <w:rPr>
                <w:rFonts w:eastAsia="Calibri"/>
                <w:sz w:val="12"/>
                <w:szCs w:val="12"/>
              </w:rPr>
              <w:t>26.49%</w:t>
            </w:r>
          </w:p>
        </w:tc>
        <w:tc>
          <w:tcPr>
            <w:tcW w:w="861" w:type="pct"/>
            <w:noWrap/>
            <w:hideMark/>
          </w:tcPr>
          <w:p w14:paraId="1AE37030" w14:textId="77777777" w:rsidR="00F85031" w:rsidRPr="004154C3" w:rsidRDefault="00F85031" w:rsidP="007458BA">
            <w:pPr>
              <w:contextualSpacing/>
              <w:jc w:val="center"/>
              <w:rPr>
                <w:rFonts w:eastAsia="Calibri"/>
                <w:sz w:val="12"/>
                <w:szCs w:val="12"/>
              </w:rPr>
            </w:pPr>
            <w:r w:rsidRPr="004154C3">
              <w:rPr>
                <w:rFonts w:eastAsia="Calibri"/>
                <w:sz w:val="12"/>
                <w:szCs w:val="12"/>
              </w:rPr>
              <w:t>18.98%</w:t>
            </w:r>
          </w:p>
        </w:tc>
        <w:tc>
          <w:tcPr>
            <w:tcW w:w="821" w:type="pct"/>
            <w:noWrap/>
            <w:hideMark/>
          </w:tcPr>
          <w:p w14:paraId="225391EB" w14:textId="77777777" w:rsidR="00F85031" w:rsidRPr="004154C3" w:rsidRDefault="00F85031" w:rsidP="007458BA">
            <w:pPr>
              <w:contextualSpacing/>
              <w:jc w:val="center"/>
              <w:rPr>
                <w:rFonts w:eastAsia="Calibri"/>
                <w:sz w:val="12"/>
                <w:szCs w:val="12"/>
              </w:rPr>
            </w:pPr>
            <w:r w:rsidRPr="004154C3">
              <w:rPr>
                <w:rFonts w:eastAsia="Calibri"/>
                <w:sz w:val="12"/>
                <w:szCs w:val="12"/>
              </w:rPr>
              <w:t>1.03%</w:t>
            </w:r>
          </w:p>
        </w:tc>
        <w:tc>
          <w:tcPr>
            <w:tcW w:w="821" w:type="pct"/>
            <w:noWrap/>
            <w:hideMark/>
          </w:tcPr>
          <w:p w14:paraId="7B11ABD9" w14:textId="77777777" w:rsidR="00F85031" w:rsidRPr="004154C3" w:rsidRDefault="00F85031" w:rsidP="007458BA">
            <w:pPr>
              <w:contextualSpacing/>
              <w:jc w:val="center"/>
              <w:rPr>
                <w:rFonts w:eastAsia="Calibri"/>
                <w:sz w:val="12"/>
                <w:szCs w:val="12"/>
              </w:rPr>
            </w:pPr>
            <w:r w:rsidRPr="004154C3">
              <w:rPr>
                <w:rFonts w:eastAsia="Calibri"/>
                <w:sz w:val="12"/>
                <w:szCs w:val="12"/>
              </w:rPr>
              <w:t>0.80%</w:t>
            </w:r>
          </w:p>
        </w:tc>
        <w:tc>
          <w:tcPr>
            <w:tcW w:w="821" w:type="pct"/>
            <w:noWrap/>
            <w:hideMark/>
          </w:tcPr>
          <w:p w14:paraId="6FFAAEF9" w14:textId="77777777" w:rsidR="00F85031" w:rsidRPr="004154C3" w:rsidRDefault="00F85031" w:rsidP="007458BA">
            <w:pPr>
              <w:contextualSpacing/>
              <w:jc w:val="center"/>
              <w:rPr>
                <w:rFonts w:eastAsia="Calibri"/>
                <w:sz w:val="12"/>
                <w:szCs w:val="12"/>
              </w:rPr>
            </w:pPr>
            <w:r w:rsidRPr="004154C3">
              <w:rPr>
                <w:rFonts w:eastAsia="Calibri"/>
                <w:sz w:val="12"/>
                <w:szCs w:val="12"/>
              </w:rPr>
              <w:t>5.68%</w:t>
            </w:r>
          </w:p>
        </w:tc>
      </w:tr>
      <w:tr w:rsidR="00F85031" w:rsidRPr="0028132D" w14:paraId="5500AE71" w14:textId="77777777" w:rsidTr="00E64CE3">
        <w:trPr>
          <w:trHeight w:val="290"/>
        </w:trPr>
        <w:tc>
          <w:tcPr>
            <w:tcW w:w="815" w:type="pct"/>
          </w:tcPr>
          <w:p w14:paraId="409C40EC" w14:textId="77777777" w:rsidR="00F85031" w:rsidRPr="004154C3" w:rsidRDefault="00F85031" w:rsidP="007458BA">
            <w:pPr>
              <w:contextualSpacing/>
              <w:jc w:val="center"/>
              <w:rPr>
                <w:rFonts w:eastAsia="Calibri"/>
                <w:sz w:val="12"/>
                <w:szCs w:val="12"/>
              </w:rPr>
            </w:pPr>
            <w:r w:rsidRPr="004154C3">
              <w:rPr>
                <w:rFonts w:eastAsia="Calibri"/>
                <w:sz w:val="12"/>
                <w:szCs w:val="12"/>
              </w:rPr>
              <w:t>2021</w:t>
            </w:r>
          </w:p>
        </w:tc>
        <w:tc>
          <w:tcPr>
            <w:tcW w:w="861" w:type="pct"/>
            <w:noWrap/>
            <w:hideMark/>
          </w:tcPr>
          <w:p w14:paraId="45737F37" w14:textId="77777777" w:rsidR="00F85031" w:rsidRPr="004154C3" w:rsidRDefault="00F85031" w:rsidP="007458BA">
            <w:pPr>
              <w:contextualSpacing/>
              <w:jc w:val="center"/>
              <w:rPr>
                <w:rFonts w:eastAsia="Calibri"/>
                <w:sz w:val="12"/>
                <w:szCs w:val="12"/>
              </w:rPr>
            </w:pPr>
            <w:r w:rsidRPr="004154C3">
              <w:rPr>
                <w:rFonts w:eastAsia="Calibri"/>
                <w:sz w:val="12"/>
                <w:szCs w:val="12"/>
              </w:rPr>
              <w:t>26.84%</w:t>
            </w:r>
          </w:p>
        </w:tc>
        <w:tc>
          <w:tcPr>
            <w:tcW w:w="861" w:type="pct"/>
            <w:noWrap/>
            <w:hideMark/>
          </w:tcPr>
          <w:p w14:paraId="7AE446E1" w14:textId="77777777" w:rsidR="00F85031" w:rsidRPr="004154C3" w:rsidRDefault="00F85031" w:rsidP="007458BA">
            <w:pPr>
              <w:contextualSpacing/>
              <w:jc w:val="center"/>
              <w:rPr>
                <w:rFonts w:eastAsia="Calibri"/>
                <w:sz w:val="12"/>
                <w:szCs w:val="12"/>
              </w:rPr>
            </w:pPr>
            <w:r w:rsidRPr="004154C3">
              <w:rPr>
                <w:rFonts w:eastAsia="Calibri"/>
                <w:sz w:val="12"/>
                <w:szCs w:val="12"/>
              </w:rPr>
              <w:t>18.82%</w:t>
            </w:r>
          </w:p>
        </w:tc>
        <w:tc>
          <w:tcPr>
            <w:tcW w:w="821" w:type="pct"/>
            <w:noWrap/>
            <w:hideMark/>
          </w:tcPr>
          <w:p w14:paraId="22802724" w14:textId="77777777" w:rsidR="00F85031" w:rsidRPr="004154C3" w:rsidRDefault="00F85031" w:rsidP="007458BA">
            <w:pPr>
              <w:contextualSpacing/>
              <w:jc w:val="center"/>
              <w:rPr>
                <w:rFonts w:eastAsia="Calibri"/>
                <w:sz w:val="12"/>
                <w:szCs w:val="12"/>
              </w:rPr>
            </w:pPr>
            <w:r w:rsidRPr="004154C3">
              <w:rPr>
                <w:rFonts w:eastAsia="Calibri"/>
                <w:sz w:val="12"/>
                <w:szCs w:val="12"/>
              </w:rPr>
              <w:t>1.04%</w:t>
            </w:r>
          </w:p>
        </w:tc>
        <w:tc>
          <w:tcPr>
            <w:tcW w:w="821" w:type="pct"/>
            <w:noWrap/>
            <w:hideMark/>
          </w:tcPr>
          <w:p w14:paraId="296A5E3B" w14:textId="77777777" w:rsidR="00F85031" w:rsidRPr="004154C3" w:rsidRDefault="00F85031" w:rsidP="007458BA">
            <w:pPr>
              <w:contextualSpacing/>
              <w:jc w:val="center"/>
              <w:rPr>
                <w:rFonts w:eastAsia="Calibri"/>
                <w:sz w:val="12"/>
                <w:szCs w:val="12"/>
              </w:rPr>
            </w:pPr>
            <w:r w:rsidRPr="004154C3">
              <w:rPr>
                <w:rFonts w:eastAsia="Calibri"/>
                <w:sz w:val="12"/>
                <w:szCs w:val="12"/>
              </w:rPr>
              <w:t>0.83%</w:t>
            </w:r>
          </w:p>
        </w:tc>
        <w:tc>
          <w:tcPr>
            <w:tcW w:w="821" w:type="pct"/>
            <w:noWrap/>
            <w:hideMark/>
          </w:tcPr>
          <w:p w14:paraId="70ADC237" w14:textId="77777777" w:rsidR="00F85031" w:rsidRPr="004154C3" w:rsidRDefault="00F85031" w:rsidP="007458BA">
            <w:pPr>
              <w:contextualSpacing/>
              <w:jc w:val="center"/>
              <w:rPr>
                <w:rFonts w:eastAsia="Calibri"/>
                <w:sz w:val="12"/>
                <w:szCs w:val="12"/>
              </w:rPr>
            </w:pPr>
            <w:r w:rsidRPr="004154C3">
              <w:rPr>
                <w:rFonts w:eastAsia="Calibri"/>
                <w:sz w:val="12"/>
                <w:szCs w:val="12"/>
              </w:rPr>
              <w:t>6.15%</w:t>
            </w:r>
          </w:p>
        </w:tc>
      </w:tr>
      <w:tr w:rsidR="00F85031" w:rsidRPr="0028132D" w14:paraId="0AC6CA6F" w14:textId="77777777" w:rsidTr="00E64CE3">
        <w:trPr>
          <w:trHeight w:val="290"/>
        </w:trPr>
        <w:tc>
          <w:tcPr>
            <w:tcW w:w="815" w:type="pct"/>
          </w:tcPr>
          <w:p w14:paraId="163105A3" w14:textId="77777777" w:rsidR="00F85031" w:rsidRPr="004154C3" w:rsidRDefault="00F85031" w:rsidP="007458BA">
            <w:pPr>
              <w:contextualSpacing/>
              <w:jc w:val="center"/>
              <w:rPr>
                <w:rFonts w:eastAsia="Calibri"/>
                <w:sz w:val="12"/>
                <w:szCs w:val="12"/>
              </w:rPr>
            </w:pPr>
            <w:r w:rsidRPr="004154C3">
              <w:rPr>
                <w:rFonts w:eastAsia="Calibri"/>
                <w:sz w:val="12"/>
                <w:szCs w:val="12"/>
              </w:rPr>
              <w:t>2022</w:t>
            </w:r>
          </w:p>
        </w:tc>
        <w:tc>
          <w:tcPr>
            <w:tcW w:w="861" w:type="pct"/>
            <w:noWrap/>
            <w:hideMark/>
          </w:tcPr>
          <w:p w14:paraId="71B1F6DC" w14:textId="77777777" w:rsidR="00F85031" w:rsidRPr="004154C3" w:rsidRDefault="00F85031" w:rsidP="007458BA">
            <w:pPr>
              <w:contextualSpacing/>
              <w:jc w:val="center"/>
              <w:rPr>
                <w:rFonts w:eastAsia="Calibri"/>
                <w:sz w:val="12"/>
                <w:szCs w:val="12"/>
              </w:rPr>
            </w:pPr>
            <w:r w:rsidRPr="004154C3">
              <w:rPr>
                <w:rFonts w:eastAsia="Calibri"/>
                <w:sz w:val="12"/>
                <w:szCs w:val="12"/>
              </w:rPr>
              <w:t>29.08%</w:t>
            </w:r>
          </w:p>
        </w:tc>
        <w:tc>
          <w:tcPr>
            <w:tcW w:w="861" w:type="pct"/>
            <w:noWrap/>
            <w:hideMark/>
          </w:tcPr>
          <w:p w14:paraId="53583C0C" w14:textId="77777777" w:rsidR="00F85031" w:rsidRPr="004154C3" w:rsidRDefault="00F85031" w:rsidP="007458BA">
            <w:pPr>
              <w:contextualSpacing/>
              <w:jc w:val="center"/>
              <w:rPr>
                <w:rFonts w:eastAsia="Calibri"/>
                <w:sz w:val="12"/>
                <w:szCs w:val="12"/>
              </w:rPr>
            </w:pPr>
            <w:r w:rsidRPr="004154C3">
              <w:rPr>
                <w:rFonts w:eastAsia="Calibri"/>
                <w:sz w:val="12"/>
                <w:szCs w:val="12"/>
              </w:rPr>
              <w:t>20.23%</w:t>
            </w:r>
          </w:p>
        </w:tc>
        <w:tc>
          <w:tcPr>
            <w:tcW w:w="821" w:type="pct"/>
            <w:noWrap/>
            <w:hideMark/>
          </w:tcPr>
          <w:p w14:paraId="7B048860" w14:textId="77777777" w:rsidR="00F85031" w:rsidRPr="004154C3" w:rsidRDefault="00F85031" w:rsidP="007458BA">
            <w:pPr>
              <w:contextualSpacing/>
              <w:jc w:val="center"/>
              <w:rPr>
                <w:rFonts w:eastAsia="Calibri"/>
                <w:sz w:val="12"/>
                <w:szCs w:val="12"/>
              </w:rPr>
            </w:pPr>
            <w:r w:rsidRPr="004154C3">
              <w:rPr>
                <w:rFonts w:eastAsia="Calibri"/>
                <w:sz w:val="12"/>
                <w:szCs w:val="12"/>
              </w:rPr>
              <w:t>1.23%</w:t>
            </w:r>
          </w:p>
        </w:tc>
        <w:tc>
          <w:tcPr>
            <w:tcW w:w="821" w:type="pct"/>
            <w:noWrap/>
            <w:hideMark/>
          </w:tcPr>
          <w:p w14:paraId="77F0B9EA" w14:textId="77777777" w:rsidR="00F85031" w:rsidRPr="004154C3" w:rsidRDefault="00F85031" w:rsidP="007458BA">
            <w:pPr>
              <w:contextualSpacing/>
              <w:jc w:val="center"/>
              <w:rPr>
                <w:rFonts w:eastAsia="Calibri"/>
                <w:sz w:val="12"/>
                <w:szCs w:val="12"/>
              </w:rPr>
            </w:pPr>
            <w:r w:rsidRPr="004154C3">
              <w:rPr>
                <w:rFonts w:eastAsia="Calibri"/>
                <w:sz w:val="12"/>
                <w:szCs w:val="12"/>
              </w:rPr>
              <w:t>1.04%</w:t>
            </w:r>
          </w:p>
        </w:tc>
        <w:tc>
          <w:tcPr>
            <w:tcW w:w="821" w:type="pct"/>
            <w:noWrap/>
            <w:hideMark/>
          </w:tcPr>
          <w:p w14:paraId="69194DB3" w14:textId="77777777" w:rsidR="00F85031" w:rsidRPr="004154C3" w:rsidRDefault="00F85031" w:rsidP="007458BA">
            <w:pPr>
              <w:contextualSpacing/>
              <w:jc w:val="center"/>
              <w:rPr>
                <w:rFonts w:eastAsia="Calibri"/>
                <w:sz w:val="12"/>
                <w:szCs w:val="12"/>
              </w:rPr>
            </w:pPr>
            <w:r w:rsidRPr="004154C3">
              <w:rPr>
                <w:rFonts w:eastAsia="Calibri"/>
                <w:sz w:val="12"/>
                <w:szCs w:val="12"/>
              </w:rPr>
              <w:t>6.58%</w:t>
            </w:r>
          </w:p>
        </w:tc>
      </w:tr>
      <w:tr w:rsidR="00F85031" w:rsidRPr="0028132D" w14:paraId="1C52ACD6" w14:textId="77777777" w:rsidTr="00E64CE3">
        <w:trPr>
          <w:trHeight w:val="290"/>
        </w:trPr>
        <w:tc>
          <w:tcPr>
            <w:tcW w:w="815" w:type="pct"/>
          </w:tcPr>
          <w:p w14:paraId="0750C837" w14:textId="77777777" w:rsidR="00F85031" w:rsidRPr="004154C3" w:rsidRDefault="00F85031" w:rsidP="007458BA">
            <w:pPr>
              <w:contextualSpacing/>
              <w:jc w:val="center"/>
              <w:rPr>
                <w:rFonts w:eastAsia="Calibri"/>
                <w:sz w:val="12"/>
                <w:szCs w:val="12"/>
              </w:rPr>
            </w:pPr>
            <w:r w:rsidRPr="004154C3">
              <w:rPr>
                <w:rFonts w:eastAsia="Calibri"/>
                <w:sz w:val="12"/>
                <w:szCs w:val="12"/>
              </w:rPr>
              <w:t>2023</w:t>
            </w:r>
          </w:p>
        </w:tc>
        <w:tc>
          <w:tcPr>
            <w:tcW w:w="861" w:type="pct"/>
            <w:noWrap/>
            <w:hideMark/>
          </w:tcPr>
          <w:p w14:paraId="411D88D3" w14:textId="77777777" w:rsidR="00F85031" w:rsidRPr="004154C3" w:rsidRDefault="00F85031" w:rsidP="007458BA">
            <w:pPr>
              <w:contextualSpacing/>
              <w:jc w:val="center"/>
              <w:rPr>
                <w:rFonts w:eastAsia="Calibri"/>
                <w:sz w:val="12"/>
                <w:szCs w:val="12"/>
              </w:rPr>
            </w:pPr>
            <w:r w:rsidRPr="004154C3">
              <w:rPr>
                <w:rFonts w:eastAsia="Calibri"/>
                <w:sz w:val="12"/>
                <w:szCs w:val="12"/>
              </w:rPr>
              <w:t>29.34%</w:t>
            </w:r>
          </w:p>
        </w:tc>
        <w:tc>
          <w:tcPr>
            <w:tcW w:w="861" w:type="pct"/>
            <w:noWrap/>
            <w:hideMark/>
          </w:tcPr>
          <w:p w14:paraId="2516CBE3" w14:textId="77777777" w:rsidR="00F85031" w:rsidRPr="004154C3" w:rsidRDefault="00F85031" w:rsidP="007458BA">
            <w:pPr>
              <w:contextualSpacing/>
              <w:jc w:val="center"/>
              <w:rPr>
                <w:rFonts w:eastAsia="Calibri"/>
                <w:sz w:val="12"/>
                <w:szCs w:val="12"/>
              </w:rPr>
            </w:pPr>
            <w:r w:rsidRPr="004154C3">
              <w:rPr>
                <w:rFonts w:eastAsia="Calibri"/>
                <w:sz w:val="12"/>
                <w:szCs w:val="12"/>
              </w:rPr>
              <w:t>20.80%</w:t>
            </w:r>
          </w:p>
        </w:tc>
        <w:tc>
          <w:tcPr>
            <w:tcW w:w="821" w:type="pct"/>
            <w:noWrap/>
            <w:hideMark/>
          </w:tcPr>
          <w:p w14:paraId="76989702" w14:textId="77777777" w:rsidR="00F85031" w:rsidRPr="004154C3" w:rsidRDefault="00F85031" w:rsidP="007458BA">
            <w:pPr>
              <w:contextualSpacing/>
              <w:jc w:val="center"/>
              <w:rPr>
                <w:rFonts w:eastAsia="Calibri"/>
                <w:sz w:val="12"/>
                <w:szCs w:val="12"/>
              </w:rPr>
            </w:pPr>
            <w:r w:rsidRPr="004154C3">
              <w:rPr>
                <w:rFonts w:eastAsia="Calibri"/>
                <w:sz w:val="12"/>
                <w:szCs w:val="12"/>
              </w:rPr>
              <w:t>1.06%</w:t>
            </w:r>
          </w:p>
        </w:tc>
        <w:tc>
          <w:tcPr>
            <w:tcW w:w="821" w:type="pct"/>
            <w:noWrap/>
            <w:hideMark/>
          </w:tcPr>
          <w:p w14:paraId="56E615DF" w14:textId="77777777" w:rsidR="00F85031" w:rsidRPr="004154C3" w:rsidRDefault="00F85031" w:rsidP="007458BA">
            <w:pPr>
              <w:contextualSpacing/>
              <w:jc w:val="center"/>
              <w:rPr>
                <w:rFonts w:eastAsia="Calibri"/>
                <w:sz w:val="12"/>
                <w:szCs w:val="12"/>
              </w:rPr>
            </w:pPr>
            <w:r w:rsidRPr="004154C3">
              <w:rPr>
                <w:rFonts w:eastAsia="Calibri"/>
                <w:sz w:val="12"/>
                <w:szCs w:val="12"/>
              </w:rPr>
              <w:t>1.17%</w:t>
            </w:r>
          </w:p>
        </w:tc>
        <w:tc>
          <w:tcPr>
            <w:tcW w:w="821" w:type="pct"/>
            <w:noWrap/>
            <w:hideMark/>
          </w:tcPr>
          <w:p w14:paraId="53E1E673" w14:textId="77777777" w:rsidR="00F85031" w:rsidRPr="004154C3" w:rsidRDefault="00F85031" w:rsidP="007458BA">
            <w:pPr>
              <w:contextualSpacing/>
              <w:jc w:val="center"/>
              <w:rPr>
                <w:rFonts w:eastAsia="Calibri"/>
                <w:sz w:val="12"/>
                <w:szCs w:val="12"/>
              </w:rPr>
            </w:pPr>
            <w:r w:rsidRPr="004154C3">
              <w:rPr>
                <w:rFonts w:eastAsia="Calibri"/>
                <w:sz w:val="12"/>
                <w:szCs w:val="12"/>
              </w:rPr>
              <w:t>6.31%</w:t>
            </w:r>
          </w:p>
        </w:tc>
      </w:tr>
    </w:tbl>
    <w:p w14:paraId="2ABD462A" w14:textId="77777777" w:rsidR="00F85031" w:rsidRPr="0028132D" w:rsidRDefault="00F85031" w:rsidP="007458BA">
      <w:pPr>
        <w:spacing w:line="240" w:lineRule="auto"/>
        <w:jc w:val="right"/>
        <w:rPr>
          <w:sz w:val="20"/>
          <w:szCs w:val="20"/>
        </w:rPr>
      </w:pPr>
      <w:r w:rsidRPr="0028132D">
        <w:rPr>
          <w:sz w:val="20"/>
          <w:szCs w:val="20"/>
        </w:rPr>
        <w:t>S</w:t>
      </w:r>
      <w:r>
        <w:rPr>
          <w:sz w:val="20"/>
          <w:szCs w:val="20"/>
        </w:rPr>
        <w:t>ource</w:t>
      </w:r>
      <w:r w:rsidRPr="0028132D">
        <w:rPr>
          <w:sz w:val="20"/>
          <w:szCs w:val="20"/>
        </w:rPr>
        <w:t xml:space="preserve">: </w:t>
      </w:r>
      <w:r>
        <w:rPr>
          <w:sz w:val="20"/>
          <w:szCs w:val="20"/>
        </w:rPr>
        <w:t xml:space="preserve">Directorate General of Fiscal Balance, Ministry of Finance of the Republic of Indonesia (Processed by Researchers) </w:t>
      </w:r>
      <w:r w:rsidRPr="0028132D">
        <w:rPr>
          <w:sz w:val="20"/>
          <w:szCs w:val="20"/>
        </w:rPr>
        <w:t xml:space="preserve"> </w:t>
      </w:r>
    </w:p>
    <w:p w14:paraId="3C32A049" w14:textId="48D92E7E" w:rsidR="00F07020" w:rsidRDefault="00F07020" w:rsidP="007458BA">
      <w:pPr>
        <w:spacing w:line="259" w:lineRule="auto"/>
        <w:ind w:right="0" w:firstLine="0"/>
        <w:jc w:val="left"/>
      </w:pPr>
    </w:p>
    <w:p w14:paraId="12D1BB54" w14:textId="77777777" w:rsidR="00F85031" w:rsidRDefault="00F85031" w:rsidP="007458BA">
      <w:pPr>
        <w:ind w:left="-11" w:right="0" w:firstLine="723"/>
      </w:pPr>
      <w:r w:rsidRPr="00F85031">
        <w:t xml:space="preserve">According to Table 1, the amount of PAD value contributed to regional revenue increases year after year, with percentage increases ranging from 0.5% to 1.5%. Local taxes still act as the primary source of PAD. More than 50% of PAD is obtained through local taxes. Meanwhile, the other three sources of PAD have smaller percentages, although they have tended to increase in recent years. Nevertheless, the value of revenue from the 3 sources of PAD is still relatively small. As a result, this data indicates that local governments continue to rely on the central government to fund their regional spending needs. </w:t>
      </w:r>
    </w:p>
    <w:p w14:paraId="68D814D3" w14:textId="457FBC3C" w:rsidR="00F07020" w:rsidRDefault="007458BA" w:rsidP="007458BA">
      <w:pPr>
        <w:ind w:left="-11" w:right="0" w:firstLine="723"/>
      </w:pPr>
      <w:r>
        <w:rPr>
          <w:noProof/>
        </w:rPr>
        <w:lastRenderedPageBreak/>
        <w:drawing>
          <wp:anchor distT="0" distB="0" distL="114300" distR="114300" simplePos="0" relativeHeight="251670528" behindDoc="1" locked="0" layoutInCell="1" allowOverlap="0" wp14:anchorId="50652A61" wp14:editId="5417AA3F">
            <wp:simplePos x="0" y="0"/>
            <wp:positionH relativeFrom="column">
              <wp:posOffset>0</wp:posOffset>
            </wp:positionH>
            <wp:positionV relativeFrom="paragraph">
              <wp:posOffset>-635</wp:posOffset>
            </wp:positionV>
            <wp:extent cx="6129020" cy="6129020"/>
            <wp:effectExtent l="0" t="0" r="0" b="0"/>
            <wp:wrapNone/>
            <wp:docPr id="1522390285" name="Picture 152239028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00F85031" w:rsidRPr="00F85031">
        <w:t xml:space="preserve">Local governments have generally needed help to identify potential sources of revenue effectively. Most regions have yet to optimize their regional tax revenues, regional levies, or income from separated regional assets despite the provisions of Law No. 33 of 2004 concerning the Central and Regional Financial Balance. Regions often attribute the low revenue from Regional Original Income (PAD) to the limited scope for optimizing revenue generation. Although Law No. 28 of 2009 regulates regional taxes and levies, regions recognize that many potential types and objects of taxation and levies are not permitted under current legislation. The quality and quantity of human resources (HR) in this sector remain a significant challenge. The existing system, which is not yet fully integrated, has resulted in an insufficient number of qualified personnel to effectively collect taxes and levies. It is crucial for human resources working in this field to possess a thorough understanding of regional taxes and levies, as they must be capable of providing clear explanations to the public. Public awareness and understanding of the importance of paying taxes and levies are crucial for the success of revenue generation. Well-informed human resources are essential for fostering this awareness, which supports the enhancement of HR quality, the development of efficient administrative systems, and the implementation of effective oversight, all of which depend on the availability of regional budgets. Given the financial capabilities of regions, as reflected in PAD, funding all activities aimed at increasing PAD will continue to be challenging. Regions must prioritize activities that will receive funding initially. Most regions’ prevailing PAD revenue administration systems take much work, and increases in regional tax and levy revenues will be difficult. The reliance on manual and </w:t>
      </w:r>
      <w:proofErr w:type="spellStart"/>
      <w:proofErr w:type="gramStart"/>
      <w:r w:rsidR="00F85031" w:rsidRPr="00F85031">
        <w:t>non integrated</w:t>
      </w:r>
      <w:proofErr w:type="spellEnd"/>
      <w:proofErr w:type="gramEnd"/>
      <w:r w:rsidR="00F85031" w:rsidRPr="00F85031">
        <w:t xml:space="preserve"> administrative systems tends to result in revenue leakage.</w:t>
      </w:r>
    </w:p>
    <w:p w14:paraId="5924BAB8" w14:textId="77777777" w:rsidR="00F85031" w:rsidRPr="00F85031" w:rsidRDefault="00F85031" w:rsidP="007458BA">
      <w:pPr>
        <w:ind w:right="0" w:firstLine="0"/>
        <w:rPr>
          <w:b/>
          <w:bCs/>
        </w:rPr>
      </w:pPr>
      <w:r w:rsidRPr="00F85031">
        <w:rPr>
          <w:b/>
          <w:bCs/>
        </w:rPr>
        <w:t>PAD Distribution by Region</w:t>
      </w:r>
    </w:p>
    <w:p w14:paraId="172EBEE8" w14:textId="5DFFE377" w:rsidR="00F85031" w:rsidRDefault="00F85031" w:rsidP="007458BA">
      <w:pPr>
        <w:ind w:right="0" w:firstLine="720"/>
      </w:pPr>
      <w:r w:rsidRPr="00F85031">
        <w:t>Differences in the delegation of PAD sources between provincial and regencies/municipalities governments have led to differences in the value of PAD contributions to total regional revenue between levels of local government. The differences in PAD sources between Indonesian provinces and regencies/municipalities contribute to the difference in contribution value</w:t>
      </w:r>
      <w:r>
        <w:t xml:space="preserve">. </w:t>
      </w:r>
    </w:p>
    <w:p w14:paraId="1F6F50C7" w14:textId="77777777" w:rsidR="00F85031" w:rsidRDefault="00F85031" w:rsidP="007458BA">
      <w:pPr>
        <w:pStyle w:val="Caption"/>
        <w:keepNext/>
        <w:spacing w:after="0"/>
      </w:pPr>
      <w:r w:rsidRPr="00345326">
        <w:t>Table</w:t>
      </w:r>
      <w:r>
        <w:t xml:space="preserve"> </w:t>
      </w:r>
      <w:r>
        <w:fldChar w:fldCharType="begin"/>
      </w:r>
      <w:r>
        <w:instrText xml:space="preserve"> SEQ Table \* ARABIC </w:instrText>
      </w:r>
      <w:r>
        <w:fldChar w:fldCharType="separate"/>
      </w:r>
      <w:r>
        <w:rPr>
          <w:noProof/>
        </w:rPr>
        <w:t>2</w:t>
      </w:r>
      <w:r>
        <w:rPr>
          <w:noProof/>
        </w:rPr>
        <w:fldChar w:fldCharType="end"/>
      </w:r>
      <w:r>
        <w:t xml:space="preserve"> Comparison of PAD Ratio to Total Revenue at Regional Government Levels</w:t>
      </w:r>
    </w:p>
    <w:p w14:paraId="0C7A98C5" w14:textId="77777777" w:rsidR="00F85031" w:rsidRDefault="00F85031" w:rsidP="007458BA">
      <w:pPr>
        <w:pStyle w:val="Caption"/>
        <w:keepNext/>
        <w:spacing w:after="0"/>
      </w:pPr>
      <w:r>
        <w:t xml:space="preserve"> </w:t>
      </w:r>
    </w:p>
    <w:tbl>
      <w:tblPr>
        <w:tblStyle w:val="PlainTable2"/>
        <w:tblW w:w="5000" w:type="pct"/>
        <w:tblLook w:val="04A0" w:firstRow="1" w:lastRow="0" w:firstColumn="1" w:lastColumn="0" w:noHBand="0" w:noVBand="1"/>
      </w:tblPr>
      <w:tblGrid>
        <w:gridCol w:w="2785"/>
        <w:gridCol w:w="2183"/>
        <w:gridCol w:w="4727"/>
      </w:tblGrid>
      <w:tr w:rsidR="00F85031" w:rsidRPr="001D79A4" w14:paraId="3EEC7E4A" w14:textId="77777777" w:rsidTr="00F8503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6437310" w14:textId="77777777" w:rsidR="00F85031" w:rsidRPr="001D79A4" w:rsidRDefault="00F85031" w:rsidP="007458BA">
            <w:pPr>
              <w:rPr>
                <w:sz w:val="16"/>
                <w:szCs w:val="16"/>
              </w:rPr>
            </w:pPr>
            <w:r>
              <w:rPr>
                <w:sz w:val="16"/>
                <w:szCs w:val="16"/>
              </w:rPr>
              <w:t>Levels of Government</w:t>
            </w:r>
            <w:r w:rsidRPr="001D79A4">
              <w:rPr>
                <w:sz w:val="16"/>
                <w:szCs w:val="16"/>
              </w:rPr>
              <w:t xml:space="preserve"> </w:t>
            </w:r>
          </w:p>
        </w:tc>
        <w:tc>
          <w:tcPr>
            <w:tcW w:w="1126" w:type="pct"/>
            <w:noWrap/>
            <w:hideMark/>
          </w:tcPr>
          <w:p w14:paraId="74A2212C" w14:textId="77777777" w:rsidR="00F85031" w:rsidRPr="001D79A4" w:rsidRDefault="00F85031" w:rsidP="007458BA">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Perc. of PAD</w:t>
            </w:r>
          </w:p>
        </w:tc>
        <w:tc>
          <w:tcPr>
            <w:tcW w:w="2438" w:type="pct"/>
            <w:noWrap/>
            <w:hideMark/>
          </w:tcPr>
          <w:p w14:paraId="0ADF9890" w14:textId="77777777" w:rsidR="00F85031" w:rsidRPr="001D79A4" w:rsidRDefault="00F85031" w:rsidP="007458BA">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Value</w:t>
            </w:r>
            <w:r w:rsidRPr="00123872">
              <w:rPr>
                <w:sz w:val="16"/>
                <w:szCs w:val="16"/>
              </w:rPr>
              <w:t xml:space="preserve"> of Region</w:t>
            </w:r>
            <w:r>
              <w:rPr>
                <w:sz w:val="16"/>
                <w:szCs w:val="16"/>
              </w:rPr>
              <w:t>al</w:t>
            </w:r>
            <w:r w:rsidRPr="00123872">
              <w:rPr>
                <w:sz w:val="16"/>
                <w:szCs w:val="16"/>
              </w:rPr>
              <w:t xml:space="preserve"> Ratio of PAD over Transfer Revenue</w:t>
            </w:r>
          </w:p>
        </w:tc>
      </w:tr>
      <w:tr w:rsidR="00F85031" w:rsidRPr="001D79A4" w14:paraId="7082153B" w14:textId="77777777" w:rsidTr="00F850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1B5BCA5" w14:textId="77777777" w:rsidR="00F85031" w:rsidRPr="002A760C" w:rsidRDefault="00F85031" w:rsidP="007458BA">
            <w:pPr>
              <w:rPr>
                <w:b w:val="0"/>
                <w:bCs w:val="0"/>
                <w:sz w:val="16"/>
                <w:szCs w:val="16"/>
              </w:rPr>
            </w:pPr>
            <w:r>
              <w:rPr>
                <w:b w:val="0"/>
                <w:bCs w:val="0"/>
                <w:sz w:val="16"/>
                <w:szCs w:val="16"/>
              </w:rPr>
              <w:t>Provincial Government</w:t>
            </w:r>
          </w:p>
        </w:tc>
        <w:tc>
          <w:tcPr>
            <w:tcW w:w="1126" w:type="pct"/>
            <w:noWrap/>
            <w:hideMark/>
          </w:tcPr>
          <w:p w14:paraId="0412BEAB" w14:textId="77777777" w:rsidR="00F85031" w:rsidRPr="001D79A4" w:rsidRDefault="00F85031" w:rsidP="007458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1D79A4">
              <w:rPr>
                <w:sz w:val="16"/>
                <w:szCs w:val="16"/>
              </w:rPr>
              <w:t>55.90%</w:t>
            </w:r>
          </w:p>
        </w:tc>
        <w:tc>
          <w:tcPr>
            <w:tcW w:w="2438" w:type="pct"/>
            <w:noWrap/>
            <w:hideMark/>
          </w:tcPr>
          <w:p w14:paraId="5E29467D" w14:textId="77777777" w:rsidR="00F85031" w:rsidRPr="001D79A4" w:rsidRDefault="00F85031" w:rsidP="007458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1D79A4">
              <w:rPr>
                <w:sz w:val="16"/>
                <w:szCs w:val="16"/>
              </w:rPr>
              <w:t>12</w:t>
            </w:r>
          </w:p>
        </w:tc>
      </w:tr>
      <w:tr w:rsidR="00F85031" w:rsidRPr="001D79A4" w14:paraId="651E7249" w14:textId="77777777" w:rsidTr="00F85031">
        <w:trPr>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97560E2" w14:textId="77777777" w:rsidR="00F85031" w:rsidRPr="002A760C" w:rsidRDefault="00F85031" w:rsidP="007458BA">
            <w:pPr>
              <w:rPr>
                <w:b w:val="0"/>
                <w:bCs w:val="0"/>
                <w:sz w:val="16"/>
                <w:szCs w:val="16"/>
              </w:rPr>
            </w:pPr>
            <w:r>
              <w:rPr>
                <w:b w:val="0"/>
                <w:bCs w:val="0"/>
                <w:sz w:val="16"/>
                <w:szCs w:val="16"/>
              </w:rPr>
              <w:t>Regencies Government</w:t>
            </w:r>
            <w:r w:rsidRPr="002A760C">
              <w:rPr>
                <w:b w:val="0"/>
                <w:bCs w:val="0"/>
                <w:sz w:val="16"/>
                <w:szCs w:val="16"/>
              </w:rPr>
              <w:t xml:space="preserve"> </w:t>
            </w:r>
          </w:p>
        </w:tc>
        <w:tc>
          <w:tcPr>
            <w:tcW w:w="1126" w:type="pct"/>
            <w:noWrap/>
            <w:hideMark/>
          </w:tcPr>
          <w:p w14:paraId="3712A009" w14:textId="77777777" w:rsidR="00F85031" w:rsidRPr="001D79A4" w:rsidRDefault="00F85031" w:rsidP="007458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79A4">
              <w:rPr>
                <w:sz w:val="16"/>
                <w:szCs w:val="16"/>
              </w:rPr>
              <w:t>14.72%</w:t>
            </w:r>
          </w:p>
        </w:tc>
        <w:tc>
          <w:tcPr>
            <w:tcW w:w="2438" w:type="pct"/>
            <w:noWrap/>
            <w:hideMark/>
          </w:tcPr>
          <w:p w14:paraId="60923C41" w14:textId="77777777" w:rsidR="00F85031" w:rsidRPr="001D79A4" w:rsidRDefault="00F85031" w:rsidP="007458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79A4">
              <w:rPr>
                <w:sz w:val="16"/>
                <w:szCs w:val="16"/>
              </w:rPr>
              <w:t>3</w:t>
            </w:r>
          </w:p>
        </w:tc>
      </w:tr>
      <w:tr w:rsidR="00F85031" w:rsidRPr="001D79A4" w14:paraId="110DBF9D" w14:textId="77777777" w:rsidTr="00F850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C135134" w14:textId="77777777" w:rsidR="00F85031" w:rsidRPr="002A760C" w:rsidRDefault="00F85031" w:rsidP="007458BA">
            <w:pPr>
              <w:rPr>
                <w:b w:val="0"/>
                <w:bCs w:val="0"/>
                <w:sz w:val="16"/>
                <w:szCs w:val="16"/>
              </w:rPr>
            </w:pPr>
            <w:r>
              <w:rPr>
                <w:b w:val="0"/>
                <w:bCs w:val="0"/>
                <w:sz w:val="16"/>
                <w:szCs w:val="16"/>
              </w:rPr>
              <w:t>Municipalities Government</w:t>
            </w:r>
          </w:p>
        </w:tc>
        <w:tc>
          <w:tcPr>
            <w:tcW w:w="1126" w:type="pct"/>
            <w:noWrap/>
            <w:hideMark/>
          </w:tcPr>
          <w:p w14:paraId="6C1F2D4D" w14:textId="77777777" w:rsidR="00F85031" w:rsidRPr="001D79A4" w:rsidRDefault="00F85031" w:rsidP="007458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1D79A4">
              <w:rPr>
                <w:sz w:val="16"/>
                <w:szCs w:val="16"/>
              </w:rPr>
              <w:t>33.82%</w:t>
            </w:r>
          </w:p>
        </w:tc>
        <w:tc>
          <w:tcPr>
            <w:tcW w:w="2438" w:type="pct"/>
            <w:noWrap/>
            <w:hideMark/>
          </w:tcPr>
          <w:p w14:paraId="0319D504" w14:textId="77777777" w:rsidR="00F85031" w:rsidRPr="001D79A4" w:rsidRDefault="00F85031" w:rsidP="007458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1D79A4">
              <w:rPr>
                <w:sz w:val="16"/>
                <w:szCs w:val="16"/>
              </w:rPr>
              <w:t>5</w:t>
            </w:r>
          </w:p>
        </w:tc>
      </w:tr>
    </w:tbl>
    <w:p w14:paraId="491F00FC" w14:textId="77777777" w:rsidR="00FA2F47" w:rsidRDefault="00FA2F47" w:rsidP="007458BA">
      <w:pPr>
        <w:pStyle w:val="Caption"/>
        <w:keepNext/>
        <w:spacing w:after="0"/>
        <w:ind w:firstLine="720"/>
        <w:jc w:val="both"/>
        <w:rPr>
          <w:rFonts w:eastAsia="Calibri" w:cs="Times New Roman"/>
          <w:b w:val="0"/>
          <w:iCs w:val="0"/>
          <w:sz w:val="22"/>
          <w:szCs w:val="22"/>
          <w:lang w:val="en-ID"/>
        </w:rPr>
      </w:pPr>
      <w:r w:rsidRPr="00FA2F47">
        <w:rPr>
          <w:rFonts w:eastAsia="Calibri" w:cs="Times New Roman"/>
          <w:b w:val="0"/>
          <w:iCs w:val="0"/>
          <w:sz w:val="22"/>
          <w:szCs w:val="22"/>
          <w:lang w:val="en-ID"/>
        </w:rPr>
        <w:t xml:space="preserve">The provincial government made a significant contribution, according to the data in Table 2. PAD generated by province governments accounts for more than half of total provincial regional revenue. Based on this contribution value, Indonesia’s provinces can be considered independent. However, out of 38 provinces in Indonesia, only 12 provinces currently have a PAD ratio above 50%. Furthermore, Table 2 revealed that the average PAD in Indonesia’s regencies/municipalities remains less than 50%. However, 5 out of 98 cities, or 5.1% of cities in Indonesia, have a PAD ratio of more than 50%. Meanwhile, only three regencies out of 416 districts have a local own-source revenue ratio of more than 50% or approximately 0.7%. </w:t>
      </w:r>
    </w:p>
    <w:p w14:paraId="4BA5A56C" w14:textId="58937194" w:rsidR="00FA2F47" w:rsidRDefault="00FA2F47" w:rsidP="007458BA">
      <w:pPr>
        <w:pStyle w:val="Caption"/>
        <w:keepNext/>
        <w:spacing w:after="0"/>
        <w:ind w:firstLine="720"/>
        <w:jc w:val="both"/>
        <w:rPr>
          <w:rFonts w:eastAsia="Calibri" w:cs="Times New Roman"/>
          <w:b w:val="0"/>
          <w:iCs w:val="0"/>
          <w:sz w:val="22"/>
          <w:szCs w:val="22"/>
          <w:lang w:val="en-ID"/>
        </w:rPr>
      </w:pPr>
      <w:r w:rsidRPr="00FA2F47">
        <w:rPr>
          <w:rFonts w:eastAsia="Calibri" w:cs="Times New Roman"/>
          <w:b w:val="0"/>
          <w:iCs w:val="0"/>
          <w:sz w:val="22"/>
          <w:szCs w:val="22"/>
          <w:lang w:val="en-ID"/>
        </w:rPr>
        <w:t>Badung Regency, Gianyar Regency, and Tangerang Regency have PAD rates of more than 50%. Regardless of their status as regencies, the three regencies with more than 50% PAD ratios are urbanized. The determination refers to Law</w:t>
      </w:r>
      <w:r w:rsidRPr="00C30412">
        <w:rPr>
          <w:rFonts w:eastAsia="Calibri" w:cs="Times New Roman"/>
          <w:b w:val="0"/>
          <w:iCs w:val="0"/>
          <w:sz w:val="22"/>
          <w:szCs w:val="22"/>
          <w:lang w:val="id-ID"/>
        </w:rPr>
        <w:t>.</w:t>
      </w:r>
      <w:r>
        <w:rPr>
          <w:rFonts w:eastAsia="Calibri" w:cs="Times New Roman"/>
          <w:b w:val="0"/>
          <w:iCs w:val="0"/>
          <w:sz w:val="22"/>
          <w:szCs w:val="22"/>
          <w:lang w:val="id-ID"/>
        </w:rPr>
        <w:t xml:space="preserve"> </w:t>
      </w:r>
      <w:r w:rsidRPr="00FA2F47">
        <w:rPr>
          <w:rFonts w:eastAsia="Calibri" w:cs="Times New Roman"/>
          <w:b w:val="0"/>
          <w:iCs w:val="0"/>
          <w:sz w:val="22"/>
          <w:szCs w:val="22"/>
          <w:lang w:val="en-ID"/>
        </w:rPr>
        <w:t>No. 26/2007 on Spatial Planning; hence, the three regencies are classified as urban areas. Based on Statistics Indonesia (BPS) data and the APBD of each district, the three districts do not focus on the agricultural sector but rather the business sector.</w:t>
      </w:r>
    </w:p>
    <w:p w14:paraId="4F49D4B1" w14:textId="77777777" w:rsidR="00FA2F47" w:rsidRPr="00FA2F47" w:rsidRDefault="00FA2F47" w:rsidP="007458BA">
      <w:pPr>
        <w:ind w:firstLine="0"/>
        <w:rPr>
          <w:rFonts w:eastAsia="Calibri"/>
          <w:b/>
          <w:bCs/>
          <w:lang w:eastAsia="en-US"/>
        </w:rPr>
      </w:pPr>
      <w:r w:rsidRPr="00FA2F47">
        <w:rPr>
          <w:rFonts w:eastAsia="Calibri"/>
          <w:b/>
          <w:bCs/>
          <w:lang w:eastAsia="en-US"/>
        </w:rPr>
        <w:t xml:space="preserve">Comparative Analysis of PAD Potential between Regencies and Municipalities </w:t>
      </w:r>
    </w:p>
    <w:p w14:paraId="1AE5F93B" w14:textId="2E443FA8" w:rsidR="00FA2F47" w:rsidRDefault="007458BA" w:rsidP="007458BA">
      <w:pPr>
        <w:ind w:firstLine="720"/>
        <w:rPr>
          <w:rFonts w:eastAsia="Calibri"/>
          <w:lang w:eastAsia="en-US"/>
        </w:rPr>
      </w:pPr>
      <w:r>
        <w:rPr>
          <w:noProof/>
        </w:rPr>
        <w:lastRenderedPageBreak/>
        <w:drawing>
          <wp:anchor distT="0" distB="0" distL="114300" distR="114300" simplePos="0" relativeHeight="251672576" behindDoc="1" locked="0" layoutInCell="1" allowOverlap="0" wp14:anchorId="0B4AE7A0" wp14:editId="53A4A590">
            <wp:simplePos x="0" y="0"/>
            <wp:positionH relativeFrom="column">
              <wp:posOffset>0</wp:posOffset>
            </wp:positionH>
            <wp:positionV relativeFrom="paragraph">
              <wp:posOffset>-635</wp:posOffset>
            </wp:positionV>
            <wp:extent cx="6129020" cy="6129020"/>
            <wp:effectExtent l="0" t="0" r="0" b="0"/>
            <wp:wrapNone/>
            <wp:docPr id="878231791" name="Picture 87823179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00FA2F47" w:rsidRPr="00FA2F47">
        <w:rPr>
          <w:rFonts w:eastAsia="Calibri"/>
          <w:lang w:eastAsia="en-US"/>
        </w:rPr>
        <w:t xml:space="preserve">Measurement is not based on how much value a region generates to PAD sources. However, it is done by determining the proportion of revenue generated by PAD sources compared to the total regional revenue and assessing the potential revenue within a certain distance. The measurement used a comparison of </w:t>
      </w:r>
      <w:proofErr w:type="spellStart"/>
      <w:r w:rsidR="00FA2F47" w:rsidRPr="00FA2F47">
        <w:rPr>
          <w:rFonts w:eastAsia="Calibri"/>
          <w:lang w:eastAsia="en-US"/>
        </w:rPr>
        <w:t>neighboring</w:t>
      </w:r>
      <w:proofErr w:type="spellEnd"/>
      <w:r w:rsidR="00FA2F47" w:rsidRPr="00FA2F47">
        <w:rPr>
          <w:rFonts w:eastAsia="Calibri"/>
          <w:lang w:eastAsia="en-US"/>
        </w:rPr>
        <w:t xml:space="preserve"> city districts. The following table displays the amount of PAD obtained between regencies with adjoining municipalities. The data variables used in this section are as follows: (Table 3) A1: Hotel Tax A2: Restaurant Tax A3: Land and Building Tax – Rural and Urban (PBB-P2) A4: Cleaning Service Retribution A5: Local Public Service Agency (BLUD) Based on the data table 3 in the table above, it is known that the revenue value of several types of PAD in Bogor Regency is greater than the revenue value generated by Bogor City. The higher population in Bogor Regency than in Bogor City contributes to the former’s higher local tax revenue. This statement</w:t>
      </w:r>
      <w:r w:rsidR="00FA2F47">
        <w:rPr>
          <w:rFonts w:eastAsia="Calibri"/>
          <w:lang w:eastAsia="en-US"/>
        </w:rPr>
        <w:t xml:space="preserve"> </w:t>
      </w:r>
      <w:r w:rsidR="00FA2F47" w:rsidRPr="00FA2F47">
        <w:rPr>
          <w:rFonts w:eastAsia="Calibri"/>
          <w:lang w:eastAsia="en-US"/>
        </w:rPr>
        <w:t xml:space="preserve">aligns with research by </w:t>
      </w:r>
      <w:proofErr w:type="spellStart"/>
      <w:r w:rsidR="00FA2F47" w:rsidRPr="00FA2F47">
        <w:rPr>
          <w:rFonts w:eastAsia="Calibri"/>
          <w:lang w:eastAsia="en-US"/>
        </w:rPr>
        <w:t>Priyono</w:t>
      </w:r>
      <w:proofErr w:type="spellEnd"/>
      <w:r w:rsidR="00FA2F47" w:rsidRPr="00FA2F47">
        <w:rPr>
          <w:rFonts w:eastAsia="Calibri"/>
          <w:lang w:eastAsia="en-US"/>
        </w:rPr>
        <w:t xml:space="preserve"> and </w:t>
      </w:r>
      <w:proofErr w:type="spellStart"/>
      <w:r w:rsidR="00FA2F47" w:rsidRPr="00FA2F47">
        <w:rPr>
          <w:rFonts w:eastAsia="Calibri"/>
          <w:lang w:eastAsia="en-US"/>
        </w:rPr>
        <w:t>Handayani</w:t>
      </w:r>
      <w:proofErr w:type="spellEnd"/>
      <w:r w:rsidR="00FA2F47" w:rsidRPr="00FA2F47">
        <w:rPr>
          <w:rFonts w:eastAsia="Calibri"/>
          <w:lang w:eastAsia="en-US"/>
        </w:rPr>
        <w:t xml:space="preserve"> (2021) highlighting the significant and positive impact of population size on local tax revenue. However, regarding the percentage contribution to total revenue, Bogor Regency lags behind Bogor City. Although Bogor Regency covers a significantly greater area than Bogor City, it has a lower value based on the prospective statistics in the table above, except for the number of hotels. However, even though the number of hotels/accommodations varies significantly, it does not affect revenue. (Tabel </w:t>
      </w:r>
      <w:r w:rsidR="00FA2F47">
        <w:rPr>
          <w:rFonts w:eastAsia="Calibri"/>
          <w:lang w:eastAsia="en-US"/>
        </w:rPr>
        <w:t>3</w:t>
      </w:r>
      <w:r w:rsidR="00FA2F47" w:rsidRPr="00FA2F47">
        <w:rPr>
          <w:rFonts w:eastAsia="Calibri"/>
          <w:lang w:eastAsia="en-US"/>
        </w:rPr>
        <w:t xml:space="preserve">) </w:t>
      </w:r>
    </w:p>
    <w:p w14:paraId="6E942E29" w14:textId="77777777" w:rsidR="00FA2F47" w:rsidRDefault="00FA2F47" w:rsidP="007458BA">
      <w:pPr>
        <w:ind w:firstLine="720"/>
        <w:rPr>
          <w:rFonts w:eastAsia="Calibri"/>
          <w:lang w:eastAsia="en-US"/>
        </w:rPr>
      </w:pPr>
    </w:p>
    <w:p w14:paraId="1A6CA5F7" w14:textId="77777777" w:rsidR="00FA2F47" w:rsidRDefault="00FA2F47" w:rsidP="007458BA">
      <w:pPr>
        <w:pStyle w:val="Caption"/>
        <w:keepNext/>
        <w:spacing w:after="0"/>
        <w:rPr>
          <w:lang w:val="it-IT"/>
        </w:rPr>
      </w:pPr>
      <w:r w:rsidRPr="007A3D14">
        <w:rPr>
          <w:lang w:val="it-IT"/>
        </w:rPr>
        <w:t xml:space="preserve">Table </w:t>
      </w:r>
      <w:r>
        <w:fldChar w:fldCharType="begin"/>
      </w:r>
      <w:r w:rsidRPr="00EC6406">
        <w:rPr>
          <w:lang w:val="it-IT"/>
        </w:rPr>
        <w:instrText xml:space="preserve"> SEQ Table \* ARABIC </w:instrText>
      </w:r>
      <w:r>
        <w:fldChar w:fldCharType="separate"/>
      </w:r>
      <w:r>
        <w:rPr>
          <w:noProof/>
          <w:lang w:val="it-IT"/>
        </w:rPr>
        <w:t>3</w:t>
      </w:r>
      <w:r>
        <w:fldChar w:fldCharType="end"/>
      </w:r>
      <w:r w:rsidRPr="00EC6406">
        <w:rPr>
          <w:lang w:val="it-IT"/>
        </w:rPr>
        <w:t xml:space="preserve"> </w:t>
      </w:r>
      <w:r w:rsidRPr="00885E57">
        <w:rPr>
          <w:lang w:val="it-IT"/>
        </w:rPr>
        <w:t>Comparison of PAD between Bogor Regency and Bogor City</w:t>
      </w:r>
    </w:p>
    <w:p w14:paraId="5527A821" w14:textId="77777777" w:rsidR="00FA2F47" w:rsidRPr="00CA00F1" w:rsidRDefault="00FA2F47" w:rsidP="007458BA">
      <w:pPr>
        <w:rPr>
          <w:sz w:val="12"/>
          <w:szCs w:val="12"/>
          <w:lang w:val="it-IT"/>
        </w:rPr>
      </w:pPr>
    </w:p>
    <w:tbl>
      <w:tblPr>
        <w:tblStyle w:val="PlainTable2"/>
        <w:tblW w:w="5000" w:type="pct"/>
        <w:tblLook w:val="04A0" w:firstRow="1" w:lastRow="0" w:firstColumn="1" w:lastColumn="0" w:noHBand="0" w:noVBand="1"/>
      </w:tblPr>
      <w:tblGrid>
        <w:gridCol w:w="1056"/>
        <w:gridCol w:w="1561"/>
        <w:gridCol w:w="1440"/>
        <w:gridCol w:w="1252"/>
        <w:gridCol w:w="1694"/>
        <w:gridCol w:w="1440"/>
        <w:gridCol w:w="1252"/>
      </w:tblGrid>
      <w:tr w:rsidR="00FA2F47" w:rsidRPr="00EC6406" w14:paraId="2CE11D9A" w14:textId="77777777" w:rsidTr="00FA2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 w:type="pct"/>
            <w:vMerge w:val="restart"/>
          </w:tcPr>
          <w:p w14:paraId="6D69EB0D" w14:textId="77777777" w:rsidR="00FA2F47" w:rsidRPr="00EC6406" w:rsidRDefault="00FA2F47" w:rsidP="007458BA">
            <w:pPr>
              <w:jc w:val="center"/>
              <w:rPr>
                <w:rFonts w:eastAsia="Calibri"/>
                <w:sz w:val="12"/>
                <w:szCs w:val="12"/>
                <w:lang w:val="id-ID"/>
              </w:rPr>
            </w:pPr>
            <w:r w:rsidRPr="00EC6406">
              <w:rPr>
                <w:rFonts w:eastAsia="Calibri"/>
                <w:sz w:val="12"/>
                <w:szCs w:val="12"/>
                <w:lang w:val="id-ID"/>
              </w:rPr>
              <w:t>PAD</w:t>
            </w:r>
          </w:p>
        </w:tc>
        <w:tc>
          <w:tcPr>
            <w:tcW w:w="2265" w:type="pct"/>
            <w:gridSpan w:val="3"/>
          </w:tcPr>
          <w:p w14:paraId="136B5599" w14:textId="77777777" w:rsidR="00FA2F47" w:rsidRPr="00EC6406" w:rsidRDefault="00FA2F47" w:rsidP="007458BA">
            <w:pPr>
              <w:jc w:val="center"/>
              <w:cnfStyle w:val="100000000000" w:firstRow="1" w:lastRow="0" w:firstColumn="0" w:lastColumn="0" w:oddVBand="0" w:evenVBand="0" w:oddHBand="0" w:evenHBand="0" w:firstRowFirstColumn="0" w:firstRowLastColumn="0" w:lastRowFirstColumn="0" w:lastRowLastColumn="0"/>
              <w:rPr>
                <w:rFonts w:eastAsia="Calibri"/>
                <w:sz w:val="12"/>
                <w:szCs w:val="12"/>
                <w:lang w:val="id-ID"/>
              </w:rPr>
            </w:pPr>
            <w:r>
              <w:rPr>
                <w:rFonts w:eastAsia="Calibri"/>
                <w:sz w:val="12"/>
                <w:szCs w:val="12"/>
                <w:lang w:val="id-ID"/>
              </w:rPr>
              <w:t>Bogor Regency</w:t>
            </w:r>
          </w:p>
        </w:tc>
        <w:tc>
          <w:tcPr>
            <w:tcW w:w="2341" w:type="pct"/>
            <w:gridSpan w:val="3"/>
          </w:tcPr>
          <w:p w14:paraId="17BF9C6F" w14:textId="77777777" w:rsidR="00FA2F47" w:rsidRPr="00EC6406" w:rsidRDefault="00FA2F47" w:rsidP="007458BA">
            <w:pPr>
              <w:jc w:val="center"/>
              <w:cnfStyle w:val="100000000000" w:firstRow="1" w:lastRow="0" w:firstColumn="0" w:lastColumn="0" w:oddVBand="0" w:evenVBand="0" w:oddHBand="0" w:evenHBand="0" w:firstRowFirstColumn="0" w:firstRowLastColumn="0" w:lastRowFirstColumn="0" w:lastRowLastColumn="0"/>
              <w:rPr>
                <w:rFonts w:eastAsia="Calibri"/>
                <w:sz w:val="12"/>
                <w:szCs w:val="12"/>
                <w:lang w:val="id-ID"/>
              </w:rPr>
            </w:pPr>
            <w:r>
              <w:rPr>
                <w:rFonts w:eastAsia="Calibri"/>
                <w:sz w:val="12"/>
                <w:szCs w:val="12"/>
                <w:lang w:val="id-ID"/>
              </w:rPr>
              <w:t>Bogor City</w:t>
            </w:r>
          </w:p>
        </w:tc>
      </w:tr>
      <w:tr w:rsidR="00FA2F47" w:rsidRPr="00EC6406" w14:paraId="42F7E558" w14:textId="77777777" w:rsidTr="00FA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 w:type="pct"/>
            <w:vMerge/>
          </w:tcPr>
          <w:p w14:paraId="5339572A" w14:textId="77777777" w:rsidR="00FA2F47" w:rsidRPr="00EC6406" w:rsidRDefault="00FA2F47" w:rsidP="007458BA">
            <w:pPr>
              <w:jc w:val="center"/>
              <w:rPr>
                <w:rFonts w:eastAsia="Calibri"/>
                <w:sz w:val="12"/>
                <w:szCs w:val="12"/>
                <w:lang w:val="id-ID"/>
              </w:rPr>
            </w:pPr>
          </w:p>
        </w:tc>
        <w:tc>
          <w:tcPr>
            <w:tcW w:w="736" w:type="pct"/>
          </w:tcPr>
          <w:p w14:paraId="59D1C544"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Value (Rp)</w:t>
            </w:r>
          </w:p>
        </w:tc>
        <w:tc>
          <w:tcPr>
            <w:tcW w:w="654" w:type="pct"/>
          </w:tcPr>
          <w:p w14:paraId="5F89A7D4"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Contribution Value (%)</w:t>
            </w:r>
          </w:p>
        </w:tc>
        <w:tc>
          <w:tcPr>
            <w:tcW w:w="875" w:type="pct"/>
          </w:tcPr>
          <w:p w14:paraId="3EF85FF5"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Potential Value</w:t>
            </w:r>
          </w:p>
        </w:tc>
        <w:tc>
          <w:tcPr>
            <w:tcW w:w="827" w:type="pct"/>
          </w:tcPr>
          <w:p w14:paraId="59862214"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Value (Rp)</w:t>
            </w:r>
          </w:p>
        </w:tc>
        <w:tc>
          <w:tcPr>
            <w:tcW w:w="584" w:type="pct"/>
          </w:tcPr>
          <w:p w14:paraId="09D63E93"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Contribution Value (%)</w:t>
            </w:r>
          </w:p>
        </w:tc>
        <w:tc>
          <w:tcPr>
            <w:tcW w:w="930" w:type="pct"/>
          </w:tcPr>
          <w:p w14:paraId="7B2B30B1"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Potential Value</w:t>
            </w:r>
          </w:p>
        </w:tc>
      </w:tr>
      <w:tr w:rsidR="00FA2F47" w:rsidRPr="00EC6406" w14:paraId="60D86DB3" w14:textId="77777777" w:rsidTr="00FA2F47">
        <w:tc>
          <w:tcPr>
            <w:cnfStyle w:val="001000000000" w:firstRow="0" w:lastRow="0" w:firstColumn="1" w:lastColumn="0" w:oddVBand="0" w:evenVBand="0" w:oddHBand="0" w:evenHBand="0" w:firstRowFirstColumn="0" w:firstRowLastColumn="0" w:lastRowFirstColumn="0" w:lastRowLastColumn="0"/>
            <w:tcW w:w="394" w:type="pct"/>
          </w:tcPr>
          <w:p w14:paraId="3B26424D" w14:textId="77777777" w:rsidR="00FA2F47" w:rsidRPr="00EC6406" w:rsidRDefault="00FA2F47" w:rsidP="007458BA">
            <w:pPr>
              <w:jc w:val="center"/>
              <w:rPr>
                <w:rFonts w:eastAsia="Calibri"/>
                <w:sz w:val="12"/>
                <w:szCs w:val="12"/>
                <w:lang w:val="id-ID"/>
              </w:rPr>
            </w:pPr>
            <w:r>
              <w:rPr>
                <w:rFonts w:eastAsia="Calibri"/>
                <w:sz w:val="12"/>
                <w:szCs w:val="12"/>
                <w:lang w:val="id-ID"/>
              </w:rPr>
              <w:t>A1</w:t>
            </w:r>
          </w:p>
        </w:tc>
        <w:tc>
          <w:tcPr>
            <w:tcW w:w="736" w:type="pct"/>
          </w:tcPr>
          <w:p w14:paraId="45CA5BF0"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100</w:t>
            </w:r>
            <w:r>
              <w:rPr>
                <w:rFonts w:eastAsia="Calibri"/>
                <w:sz w:val="12"/>
                <w:szCs w:val="12"/>
                <w:lang w:val="en-GB"/>
              </w:rPr>
              <w:t>.</w:t>
            </w:r>
            <w:r w:rsidRPr="00EC6406">
              <w:rPr>
                <w:rFonts w:eastAsia="Calibri"/>
                <w:sz w:val="12"/>
                <w:szCs w:val="12"/>
                <w:lang w:val="en-GB"/>
              </w:rPr>
              <w:t>392</w:t>
            </w:r>
            <w:r>
              <w:rPr>
                <w:rFonts w:eastAsia="Calibri"/>
                <w:sz w:val="12"/>
                <w:szCs w:val="12"/>
                <w:lang w:val="en-GB"/>
              </w:rPr>
              <w:t>.</w:t>
            </w:r>
            <w:r w:rsidRPr="00EC6406">
              <w:rPr>
                <w:rFonts w:eastAsia="Calibri"/>
                <w:sz w:val="12"/>
                <w:szCs w:val="12"/>
                <w:lang w:val="en-GB"/>
              </w:rPr>
              <w:t>198</w:t>
            </w:r>
          </w:p>
        </w:tc>
        <w:tc>
          <w:tcPr>
            <w:tcW w:w="654" w:type="pct"/>
          </w:tcPr>
          <w:p w14:paraId="7F35E977"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1.30</w:t>
            </w:r>
          </w:p>
        </w:tc>
        <w:tc>
          <w:tcPr>
            <w:tcW w:w="875" w:type="pct"/>
          </w:tcPr>
          <w:p w14:paraId="524A6DEB"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515 (</w:t>
            </w:r>
            <w:r>
              <w:rPr>
                <w:rFonts w:eastAsia="Calibri"/>
                <w:sz w:val="12"/>
                <w:szCs w:val="12"/>
                <w:lang w:val="en-GB"/>
              </w:rPr>
              <w:t>Hotel</w:t>
            </w:r>
            <w:r w:rsidRPr="00EC6406">
              <w:rPr>
                <w:rFonts w:eastAsia="Calibri"/>
                <w:sz w:val="12"/>
                <w:szCs w:val="12"/>
                <w:lang w:val="en-GB"/>
              </w:rPr>
              <w:t>)</w:t>
            </w:r>
          </w:p>
        </w:tc>
        <w:tc>
          <w:tcPr>
            <w:tcW w:w="827" w:type="pct"/>
          </w:tcPr>
          <w:p w14:paraId="0C67BB99"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95,000,000,000.00</w:t>
            </w:r>
          </w:p>
        </w:tc>
        <w:tc>
          <w:tcPr>
            <w:tcW w:w="584" w:type="pct"/>
          </w:tcPr>
          <w:p w14:paraId="02948D4A"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4.08</w:t>
            </w:r>
          </w:p>
        </w:tc>
        <w:tc>
          <w:tcPr>
            <w:tcW w:w="930" w:type="pct"/>
          </w:tcPr>
          <w:p w14:paraId="17FD05E9"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98 (</w:t>
            </w:r>
            <w:r>
              <w:rPr>
                <w:rFonts w:eastAsia="Calibri"/>
                <w:sz w:val="12"/>
                <w:szCs w:val="12"/>
                <w:lang w:val="en-GB"/>
              </w:rPr>
              <w:t>Hotel</w:t>
            </w:r>
            <w:r w:rsidRPr="00EC6406">
              <w:rPr>
                <w:rFonts w:eastAsia="Calibri"/>
                <w:sz w:val="12"/>
                <w:szCs w:val="12"/>
                <w:lang w:val="en-GB"/>
              </w:rPr>
              <w:t>)</w:t>
            </w:r>
          </w:p>
        </w:tc>
      </w:tr>
      <w:tr w:rsidR="00FA2F47" w:rsidRPr="00EC6406" w14:paraId="043ACEEC" w14:textId="77777777" w:rsidTr="00FA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 w:type="pct"/>
          </w:tcPr>
          <w:p w14:paraId="69F54364" w14:textId="77777777" w:rsidR="00FA2F47" w:rsidRPr="00EA40B8" w:rsidRDefault="00FA2F47" w:rsidP="007458BA">
            <w:pPr>
              <w:jc w:val="center"/>
              <w:rPr>
                <w:rFonts w:eastAsia="Calibri"/>
                <w:b w:val="0"/>
                <w:bCs w:val="0"/>
                <w:sz w:val="12"/>
                <w:szCs w:val="12"/>
                <w:lang w:val="id-ID"/>
              </w:rPr>
            </w:pPr>
            <w:r>
              <w:rPr>
                <w:rFonts w:eastAsia="Calibri"/>
                <w:sz w:val="12"/>
                <w:szCs w:val="12"/>
                <w:lang w:val="id-ID"/>
              </w:rPr>
              <w:t>A2</w:t>
            </w:r>
          </w:p>
        </w:tc>
        <w:tc>
          <w:tcPr>
            <w:tcW w:w="736" w:type="pct"/>
          </w:tcPr>
          <w:p w14:paraId="01274B98"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EC6406">
              <w:rPr>
                <w:rFonts w:eastAsia="Calibri"/>
                <w:sz w:val="12"/>
                <w:szCs w:val="12"/>
                <w:lang w:val="en-GB"/>
              </w:rPr>
              <w:t>180</w:t>
            </w:r>
            <w:r>
              <w:rPr>
                <w:rFonts w:eastAsia="Calibri"/>
                <w:sz w:val="12"/>
                <w:szCs w:val="12"/>
                <w:lang w:val="en-GB"/>
              </w:rPr>
              <w:t>.</w:t>
            </w:r>
            <w:r w:rsidRPr="00EC6406">
              <w:rPr>
                <w:rFonts w:eastAsia="Calibri"/>
                <w:sz w:val="12"/>
                <w:szCs w:val="12"/>
                <w:lang w:val="en-GB"/>
              </w:rPr>
              <w:t>79</w:t>
            </w:r>
            <w:r>
              <w:rPr>
                <w:rFonts w:eastAsia="Calibri"/>
                <w:sz w:val="12"/>
                <w:szCs w:val="12"/>
                <w:lang w:val="en-GB"/>
              </w:rPr>
              <w:t>.</w:t>
            </w:r>
            <w:r w:rsidRPr="00EC6406">
              <w:rPr>
                <w:rFonts w:eastAsia="Calibri"/>
                <w:sz w:val="12"/>
                <w:szCs w:val="12"/>
                <w:lang w:val="en-GB"/>
              </w:rPr>
              <w:t>809</w:t>
            </w:r>
          </w:p>
        </w:tc>
        <w:tc>
          <w:tcPr>
            <w:tcW w:w="654" w:type="pct"/>
          </w:tcPr>
          <w:p w14:paraId="5B8BA7C9"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EC6406">
              <w:rPr>
                <w:rFonts w:eastAsia="Calibri"/>
                <w:sz w:val="12"/>
                <w:szCs w:val="12"/>
                <w:lang w:val="en-GB"/>
              </w:rPr>
              <w:t>2.33</w:t>
            </w:r>
          </w:p>
        </w:tc>
        <w:tc>
          <w:tcPr>
            <w:tcW w:w="875" w:type="pct"/>
          </w:tcPr>
          <w:p w14:paraId="17B0B240"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EC6406">
              <w:rPr>
                <w:rFonts w:eastAsia="Calibri"/>
                <w:sz w:val="12"/>
                <w:szCs w:val="12"/>
                <w:lang w:val="en-GB"/>
              </w:rPr>
              <w:t>607 (</w:t>
            </w:r>
            <w:r>
              <w:rPr>
                <w:rFonts w:eastAsia="Calibri"/>
                <w:sz w:val="12"/>
                <w:szCs w:val="12"/>
                <w:lang w:val="en-GB"/>
              </w:rPr>
              <w:t>Restaurant</w:t>
            </w:r>
            <w:r w:rsidRPr="00EC6406">
              <w:rPr>
                <w:rFonts w:eastAsia="Calibri"/>
                <w:sz w:val="12"/>
                <w:szCs w:val="12"/>
                <w:lang w:val="en-GB"/>
              </w:rPr>
              <w:t>)</w:t>
            </w:r>
          </w:p>
        </w:tc>
        <w:tc>
          <w:tcPr>
            <w:tcW w:w="827" w:type="pct"/>
          </w:tcPr>
          <w:p w14:paraId="70B2F339"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EC6406">
              <w:rPr>
                <w:rFonts w:eastAsia="Calibri"/>
                <w:sz w:val="12"/>
                <w:szCs w:val="12"/>
                <w:lang w:val="en-GB"/>
              </w:rPr>
              <w:t>150,000,000,000.00</w:t>
            </w:r>
          </w:p>
        </w:tc>
        <w:tc>
          <w:tcPr>
            <w:tcW w:w="584" w:type="pct"/>
          </w:tcPr>
          <w:p w14:paraId="1C29D7D5"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EC6406">
              <w:rPr>
                <w:rFonts w:eastAsia="Calibri"/>
                <w:sz w:val="12"/>
                <w:szCs w:val="12"/>
                <w:lang w:val="en-GB"/>
              </w:rPr>
              <w:t>6.44</w:t>
            </w:r>
          </w:p>
        </w:tc>
        <w:tc>
          <w:tcPr>
            <w:tcW w:w="930" w:type="pct"/>
          </w:tcPr>
          <w:p w14:paraId="0C49BF41"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EC6406">
              <w:rPr>
                <w:rFonts w:eastAsia="Calibri"/>
                <w:sz w:val="12"/>
                <w:szCs w:val="12"/>
                <w:lang w:val="en-GB"/>
              </w:rPr>
              <w:t>986 (</w:t>
            </w:r>
            <w:r>
              <w:rPr>
                <w:rFonts w:eastAsia="Calibri"/>
                <w:sz w:val="12"/>
                <w:szCs w:val="12"/>
                <w:lang w:val="en-GB"/>
              </w:rPr>
              <w:t>Restaurant</w:t>
            </w:r>
            <w:r w:rsidRPr="00EC6406">
              <w:rPr>
                <w:rFonts w:eastAsia="Calibri"/>
                <w:sz w:val="12"/>
                <w:szCs w:val="12"/>
                <w:lang w:val="en-GB"/>
              </w:rPr>
              <w:t>)</w:t>
            </w:r>
          </w:p>
        </w:tc>
      </w:tr>
      <w:tr w:rsidR="00FA2F47" w:rsidRPr="00EC6406" w14:paraId="2DF29ED7" w14:textId="77777777" w:rsidTr="00FA2F47">
        <w:tc>
          <w:tcPr>
            <w:cnfStyle w:val="001000000000" w:firstRow="0" w:lastRow="0" w:firstColumn="1" w:lastColumn="0" w:oddVBand="0" w:evenVBand="0" w:oddHBand="0" w:evenHBand="0" w:firstRowFirstColumn="0" w:firstRowLastColumn="0" w:lastRowFirstColumn="0" w:lastRowLastColumn="0"/>
            <w:tcW w:w="394" w:type="pct"/>
          </w:tcPr>
          <w:p w14:paraId="5F20F0F3" w14:textId="77777777" w:rsidR="00FA2F47" w:rsidRPr="00EC6406" w:rsidRDefault="00FA2F47" w:rsidP="007458BA">
            <w:pPr>
              <w:jc w:val="center"/>
              <w:rPr>
                <w:rFonts w:eastAsia="Calibri"/>
                <w:sz w:val="12"/>
                <w:szCs w:val="12"/>
                <w:lang w:val="id-ID"/>
              </w:rPr>
            </w:pPr>
            <w:r>
              <w:rPr>
                <w:rFonts w:eastAsia="Calibri"/>
                <w:sz w:val="12"/>
                <w:szCs w:val="12"/>
                <w:lang w:val="id-ID"/>
              </w:rPr>
              <w:t>A3</w:t>
            </w:r>
          </w:p>
        </w:tc>
        <w:tc>
          <w:tcPr>
            <w:tcW w:w="736" w:type="pct"/>
          </w:tcPr>
          <w:p w14:paraId="0DC8837B"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574</w:t>
            </w:r>
            <w:r>
              <w:rPr>
                <w:rFonts w:eastAsia="Calibri"/>
                <w:sz w:val="12"/>
                <w:szCs w:val="12"/>
                <w:lang w:val="en-GB"/>
              </w:rPr>
              <w:t>.</w:t>
            </w:r>
            <w:r w:rsidRPr="00EC6406">
              <w:rPr>
                <w:rFonts w:eastAsia="Calibri"/>
                <w:sz w:val="12"/>
                <w:szCs w:val="12"/>
                <w:lang w:val="en-GB"/>
              </w:rPr>
              <w:t>049</w:t>
            </w:r>
            <w:r>
              <w:rPr>
                <w:rFonts w:eastAsia="Calibri"/>
                <w:sz w:val="12"/>
                <w:szCs w:val="12"/>
                <w:lang w:val="en-GB"/>
              </w:rPr>
              <w:t xml:space="preserve">. </w:t>
            </w:r>
            <w:r w:rsidRPr="00EC6406">
              <w:rPr>
                <w:rFonts w:eastAsia="Calibri"/>
                <w:sz w:val="12"/>
                <w:szCs w:val="12"/>
                <w:lang w:val="en-GB"/>
              </w:rPr>
              <w:t>109</w:t>
            </w:r>
          </w:p>
        </w:tc>
        <w:tc>
          <w:tcPr>
            <w:tcW w:w="654" w:type="pct"/>
          </w:tcPr>
          <w:p w14:paraId="6068BA0F"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7.42</w:t>
            </w:r>
          </w:p>
        </w:tc>
        <w:tc>
          <w:tcPr>
            <w:tcW w:w="875" w:type="pct"/>
          </w:tcPr>
          <w:p w14:paraId="2CB6AA04"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Rp    192</w:t>
            </w:r>
            <w:r>
              <w:rPr>
                <w:rFonts w:eastAsia="Calibri"/>
                <w:sz w:val="12"/>
                <w:szCs w:val="12"/>
                <w:lang w:val="en-GB"/>
              </w:rPr>
              <w:t>.</w:t>
            </w:r>
            <w:r w:rsidRPr="00EC6406">
              <w:rPr>
                <w:rFonts w:eastAsia="Calibri"/>
                <w:sz w:val="12"/>
                <w:szCs w:val="12"/>
                <w:lang w:val="en-GB"/>
              </w:rPr>
              <w:t>233</w:t>
            </w:r>
            <w:r>
              <w:rPr>
                <w:rFonts w:eastAsia="Calibri"/>
                <w:sz w:val="12"/>
                <w:szCs w:val="12"/>
                <w:lang w:val="en-GB"/>
              </w:rPr>
              <w:t>.</w:t>
            </w:r>
            <w:r w:rsidRPr="00EC6406">
              <w:rPr>
                <w:rFonts w:eastAsia="Calibri"/>
                <w:sz w:val="12"/>
                <w:szCs w:val="12"/>
                <w:lang w:val="en-GB"/>
              </w:rPr>
              <w:t>979</w:t>
            </w:r>
            <w:r>
              <w:rPr>
                <w:rFonts w:eastAsia="Calibri"/>
                <w:sz w:val="12"/>
                <w:szCs w:val="12"/>
                <w:lang w:val="en-GB"/>
              </w:rPr>
              <w:t>,</w:t>
            </w:r>
            <w:r w:rsidRPr="00EC6406">
              <w:rPr>
                <w:rFonts w:eastAsia="Calibri"/>
                <w:sz w:val="12"/>
                <w:szCs w:val="12"/>
                <w:lang w:val="en-GB"/>
              </w:rPr>
              <w:t>30/KM2</w:t>
            </w:r>
          </w:p>
        </w:tc>
        <w:tc>
          <w:tcPr>
            <w:tcW w:w="827" w:type="pct"/>
          </w:tcPr>
          <w:p w14:paraId="76A529C0"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145,000,000,000.00</w:t>
            </w:r>
          </w:p>
        </w:tc>
        <w:tc>
          <w:tcPr>
            <w:tcW w:w="584" w:type="pct"/>
          </w:tcPr>
          <w:p w14:paraId="393FA3D6"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6.23</w:t>
            </w:r>
          </w:p>
        </w:tc>
        <w:tc>
          <w:tcPr>
            <w:tcW w:w="930" w:type="pct"/>
          </w:tcPr>
          <w:p w14:paraId="597D1099"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Rp 1</w:t>
            </w:r>
            <w:r>
              <w:rPr>
                <w:rFonts w:eastAsia="Calibri"/>
                <w:sz w:val="12"/>
                <w:szCs w:val="12"/>
                <w:lang w:val="en-GB"/>
              </w:rPr>
              <w:t>.</w:t>
            </w:r>
            <w:r w:rsidRPr="00EC6406">
              <w:rPr>
                <w:rFonts w:eastAsia="Calibri"/>
                <w:sz w:val="12"/>
                <w:szCs w:val="12"/>
                <w:lang w:val="en-GB"/>
              </w:rPr>
              <w:t>223</w:t>
            </w:r>
            <w:r>
              <w:rPr>
                <w:rFonts w:eastAsia="Calibri"/>
                <w:sz w:val="12"/>
                <w:szCs w:val="12"/>
                <w:lang w:val="en-GB"/>
              </w:rPr>
              <w:t>.</w:t>
            </w:r>
            <w:r w:rsidRPr="00EC6406">
              <w:rPr>
                <w:rFonts w:eastAsia="Calibri"/>
                <w:sz w:val="12"/>
                <w:szCs w:val="12"/>
                <w:lang w:val="en-GB"/>
              </w:rPr>
              <w:t>628</w:t>
            </w:r>
            <w:r>
              <w:rPr>
                <w:rFonts w:eastAsia="Calibri"/>
                <w:sz w:val="12"/>
                <w:szCs w:val="12"/>
                <w:lang w:val="en-GB"/>
              </w:rPr>
              <w:t>.</w:t>
            </w:r>
            <w:r w:rsidRPr="00EC6406">
              <w:rPr>
                <w:rFonts w:eastAsia="Calibri"/>
                <w:sz w:val="12"/>
                <w:szCs w:val="12"/>
                <w:lang w:val="en-GB"/>
              </w:rPr>
              <w:t>691</w:t>
            </w:r>
            <w:r>
              <w:rPr>
                <w:rFonts w:eastAsia="Calibri"/>
                <w:sz w:val="12"/>
                <w:szCs w:val="12"/>
                <w:lang w:val="en-GB"/>
              </w:rPr>
              <w:t>,</w:t>
            </w:r>
            <w:r w:rsidRPr="00EC6406">
              <w:rPr>
                <w:rFonts w:eastAsia="Calibri"/>
                <w:sz w:val="12"/>
                <w:szCs w:val="12"/>
                <w:lang w:val="en-GB"/>
              </w:rPr>
              <w:t>98/KM2</w:t>
            </w:r>
          </w:p>
        </w:tc>
      </w:tr>
      <w:tr w:rsidR="00FA2F47" w:rsidRPr="00EC6406" w14:paraId="27D7FD55" w14:textId="77777777" w:rsidTr="00FA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 w:type="pct"/>
          </w:tcPr>
          <w:p w14:paraId="4FC46F1A" w14:textId="77777777" w:rsidR="00FA2F47" w:rsidRPr="00EC6406" w:rsidRDefault="00FA2F47" w:rsidP="007458BA">
            <w:pPr>
              <w:jc w:val="center"/>
              <w:rPr>
                <w:rFonts w:eastAsia="Calibri"/>
                <w:sz w:val="12"/>
                <w:szCs w:val="12"/>
                <w:lang w:val="id-ID"/>
              </w:rPr>
            </w:pPr>
            <w:r>
              <w:rPr>
                <w:rFonts w:eastAsia="Calibri"/>
                <w:sz w:val="12"/>
                <w:szCs w:val="12"/>
                <w:lang w:val="id-ID"/>
              </w:rPr>
              <w:t>A4</w:t>
            </w:r>
          </w:p>
        </w:tc>
        <w:tc>
          <w:tcPr>
            <w:tcW w:w="736" w:type="pct"/>
          </w:tcPr>
          <w:p w14:paraId="3DE71FD9"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EC6406">
              <w:rPr>
                <w:rFonts w:eastAsia="Calibri"/>
                <w:sz w:val="12"/>
                <w:szCs w:val="12"/>
                <w:lang w:val="en-GB"/>
              </w:rPr>
              <w:t>20.479.727</w:t>
            </w:r>
            <w:r>
              <w:rPr>
                <w:rFonts w:eastAsia="Calibri"/>
                <w:sz w:val="12"/>
                <w:szCs w:val="12"/>
                <w:lang w:val="en-GB"/>
              </w:rPr>
              <w:t>,</w:t>
            </w:r>
            <w:r w:rsidRPr="00EC6406">
              <w:rPr>
                <w:rFonts w:eastAsia="Calibri"/>
                <w:sz w:val="12"/>
                <w:szCs w:val="12"/>
                <w:lang w:val="en-GB"/>
              </w:rPr>
              <w:t>925</w:t>
            </w:r>
          </w:p>
        </w:tc>
        <w:tc>
          <w:tcPr>
            <w:tcW w:w="654" w:type="pct"/>
          </w:tcPr>
          <w:p w14:paraId="66BD94C8"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EC6406">
              <w:rPr>
                <w:rFonts w:eastAsia="Calibri"/>
                <w:sz w:val="12"/>
                <w:szCs w:val="12"/>
                <w:lang w:val="en-GB"/>
              </w:rPr>
              <w:t>0,26</w:t>
            </w:r>
          </w:p>
        </w:tc>
        <w:tc>
          <w:tcPr>
            <w:tcW w:w="875" w:type="pct"/>
          </w:tcPr>
          <w:p w14:paraId="1201AB67"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EC6406">
              <w:rPr>
                <w:rFonts w:eastAsia="Calibri"/>
                <w:sz w:val="12"/>
                <w:szCs w:val="12"/>
                <w:lang w:val="en-GB"/>
              </w:rPr>
              <w:t>Rp      6.858.123,34</w:t>
            </w:r>
          </w:p>
        </w:tc>
        <w:tc>
          <w:tcPr>
            <w:tcW w:w="827" w:type="pct"/>
          </w:tcPr>
          <w:p w14:paraId="651953BA"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EC6406">
              <w:rPr>
                <w:rFonts w:eastAsia="Calibri"/>
                <w:sz w:val="12"/>
                <w:szCs w:val="12"/>
                <w:lang w:val="en-GB"/>
              </w:rPr>
              <w:t>11.500.000.000,00</w:t>
            </w:r>
          </w:p>
        </w:tc>
        <w:tc>
          <w:tcPr>
            <w:tcW w:w="584" w:type="pct"/>
          </w:tcPr>
          <w:p w14:paraId="17ADE116"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EC6406">
              <w:rPr>
                <w:rFonts w:eastAsia="Calibri"/>
                <w:sz w:val="12"/>
                <w:szCs w:val="12"/>
                <w:lang w:val="en-GB"/>
              </w:rPr>
              <w:t>0,49</w:t>
            </w:r>
          </w:p>
        </w:tc>
        <w:tc>
          <w:tcPr>
            <w:tcW w:w="930" w:type="pct"/>
          </w:tcPr>
          <w:p w14:paraId="04A0CCA8" w14:textId="77777777" w:rsidR="00FA2F47" w:rsidRPr="00EC6406"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EC6406">
              <w:rPr>
                <w:rFonts w:eastAsia="Calibri"/>
                <w:sz w:val="12"/>
                <w:szCs w:val="12"/>
                <w:lang w:val="en-GB"/>
              </w:rPr>
              <w:t>Rp   97.046.413,50</w:t>
            </w:r>
          </w:p>
        </w:tc>
      </w:tr>
      <w:tr w:rsidR="00FA2F47" w:rsidRPr="00EC6406" w14:paraId="4D1E21F5" w14:textId="77777777" w:rsidTr="00FA2F47">
        <w:tc>
          <w:tcPr>
            <w:cnfStyle w:val="001000000000" w:firstRow="0" w:lastRow="0" w:firstColumn="1" w:lastColumn="0" w:oddVBand="0" w:evenVBand="0" w:oddHBand="0" w:evenHBand="0" w:firstRowFirstColumn="0" w:firstRowLastColumn="0" w:lastRowFirstColumn="0" w:lastRowLastColumn="0"/>
            <w:tcW w:w="394" w:type="pct"/>
          </w:tcPr>
          <w:p w14:paraId="241E777A" w14:textId="77777777" w:rsidR="00FA2F47" w:rsidRPr="00EC6406" w:rsidRDefault="00FA2F47" w:rsidP="007458BA">
            <w:pPr>
              <w:jc w:val="center"/>
              <w:rPr>
                <w:rFonts w:eastAsia="Calibri"/>
                <w:sz w:val="12"/>
                <w:szCs w:val="12"/>
                <w:lang w:val="id-ID"/>
              </w:rPr>
            </w:pPr>
            <w:r>
              <w:rPr>
                <w:rFonts w:eastAsia="Calibri"/>
                <w:sz w:val="12"/>
                <w:szCs w:val="12"/>
                <w:lang w:val="id-ID"/>
              </w:rPr>
              <w:t>A5</w:t>
            </w:r>
          </w:p>
        </w:tc>
        <w:tc>
          <w:tcPr>
            <w:tcW w:w="736" w:type="pct"/>
          </w:tcPr>
          <w:p w14:paraId="3FDA55BE"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621</w:t>
            </w:r>
            <w:r>
              <w:rPr>
                <w:rFonts w:eastAsia="Calibri"/>
                <w:sz w:val="12"/>
                <w:szCs w:val="12"/>
                <w:lang w:val="en-GB"/>
              </w:rPr>
              <w:t>.</w:t>
            </w:r>
            <w:r w:rsidRPr="00EC6406">
              <w:rPr>
                <w:rFonts w:eastAsia="Calibri"/>
                <w:sz w:val="12"/>
                <w:szCs w:val="12"/>
                <w:lang w:val="en-GB"/>
              </w:rPr>
              <w:t>713</w:t>
            </w:r>
            <w:r>
              <w:rPr>
                <w:rFonts w:eastAsia="Calibri"/>
                <w:sz w:val="12"/>
                <w:szCs w:val="12"/>
                <w:lang w:val="en-GB"/>
              </w:rPr>
              <w:t>.</w:t>
            </w:r>
            <w:r w:rsidRPr="00EC6406">
              <w:rPr>
                <w:rFonts w:eastAsia="Calibri"/>
                <w:sz w:val="12"/>
                <w:szCs w:val="12"/>
                <w:lang w:val="en-GB"/>
              </w:rPr>
              <w:t>142</w:t>
            </w:r>
            <w:r>
              <w:rPr>
                <w:rFonts w:eastAsia="Calibri"/>
                <w:sz w:val="12"/>
                <w:szCs w:val="12"/>
                <w:lang w:val="en-GB"/>
              </w:rPr>
              <w:t>,</w:t>
            </w:r>
            <w:r w:rsidRPr="00EC6406">
              <w:rPr>
                <w:rFonts w:eastAsia="Calibri"/>
                <w:sz w:val="12"/>
                <w:szCs w:val="12"/>
                <w:lang w:val="en-GB"/>
              </w:rPr>
              <w:t>053</w:t>
            </w:r>
          </w:p>
        </w:tc>
        <w:tc>
          <w:tcPr>
            <w:tcW w:w="654" w:type="pct"/>
          </w:tcPr>
          <w:p w14:paraId="36182C5F"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8,03</w:t>
            </w:r>
          </w:p>
        </w:tc>
        <w:tc>
          <w:tcPr>
            <w:tcW w:w="875" w:type="pct"/>
          </w:tcPr>
          <w:p w14:paraId="586B03E3"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p>
        </w:tc>
        <w:tc>
          <w:tcPr>
            <w:tcW w:w="827" w:type="pct"/>
          </w:tcPr>
          <w:p w14:paraId="1C811154"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250.864.802.091,00</w:t>
            </w:r>
          </w:p>
        </w:tc>
        <w:tc>
          <w:tcPr>
            <w:tcW w:w="584" w:type="pct"/>
          </w:tcPr>
          <w:p w14:paraId="1E8292A4"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EC6406">
              <w:rPr>
                <w:rFonts w:eastAsia="Calibri"/>
                <w:sz w:val="12"/>
                <w:szCs w:val="12"/>
                <w:lang w:val="en-GB"/>
              </w:rPr>
              <w:t>10,77</w:t>
            </w:r>
          </w:p>
        </w:tc>
        <w:tc>
          <w:tcPr>
            <w:tcW w:w="930" w:type="pct"/>
          </w:tcPr>
          <w:p w14:paraId="1240703A" w14:textId="77777777" w:rsidR="00FA2F47" w:rsidRPr="00EC6406"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p>
        </w:tc>
      </w:tr>
    </w:tbl>
    <w:p w14:paraId="63D5C17C" w14:textId="748C6C69" w:rsidR="00FA2F47" w:rsidRPr="00E64CE3" w:rsidRDefault="00FA2F47" w:rsidP="007458BA">
      <w:pPr>
        <w:spacing w:line="240" w:lineRule="auto"/>
        <w:jc w:val="right"/>
        <w:rPr>
          <w:rFonts w:eastAsia="Calibri"/>
          <w:sz w:val="20"/>
          <w:szCs w:val="20"/>
          <w:lang w:val="id-ID"/>
        </w:rPr>
      </w:pPr>
      <w:r w:rsidRPr="00E37734">
        <w:rPr>
          <w:rFonts w:eastAsia="Calibri"/>
          <w:sz w:val="20"/>
          <w:szCs w:val="20"/>
          <w:lang w:val="id-ID"/>
        </w:rPr>
        <w:t>Source</w:t>
      </w:r>
      <w:r w:rsidRPr="009A4D5A">
        <w:rPr>
          <w:rFonts w:eastAsia="Calibri"/>
          <w:sz w:val="20"/>
          <w:szCs w:val="20"/>
          <w:lang w:val="id-ID"/>
        </w:rPr>
        <w:t xml:space="preserve">: </w:t>
      </w:r>
      <w:r w:rsidRPr="00E37734">
        <w:rPr>
          <w:rFonts w:eastAsia="Calibri"/>
          <w:sz w:val="20"/>
          <w:szCs w:val="20"/>
          <w:lang w:val="id-ID"/>
        </w:rPr>
        <w:t>APBD Bogor Regency in 2022, APBD Bogor City in 2022, and BPS West Java</w:t>
      </w:r>
      <w:r w:rsidRPr="009A4D5A">
        <w:rPr>
          <w:rFonts w:eastAsia="Calibri"/>
          <w:sz w:val="20"/>
          <w:szCs w:val="20"/>
          <w:lang w:val="id-ID"/>
        </w:rPr>
        <w:t xml:space="preserve"> </w:t>
      </w:r>
      <w:r>
        <w:rPr>
          <w:rFonts w:eastAsia="Calibri"/>
          <w:sz w:val="20"/>
          <w:szCs w:val="20"/>
          <w:lang w:val="id-ID"/>
        </w:rPr>
        <w:t>Province</w:t>
      </w:r>
    </w:p>
    <w:p w14:paraId="55BB9E99" w14:textId="52E25F0D" w:rsidR="00FA2F47" w:rsidRDefault="00FA2F47" w:rsidP="007458BA">
      <w:pPr>
        <w:ind w:firstLine="720"/>
        <w:rPr>
          <w:rFonts w:eastAsia="Calibri"/>
          <w:lang w:eastAsia="en-US"/>
        </w:rPr>
      </w:pPr>
      <w:r w:rsidRPr="00FA2F47">
        <w:rPr>
          <w:rFonts w:eastAsia="Calibri"/>
          <w:lang w:eastAsia="en-US"/>
        </w:rPr>
        <w:t xml:space="preserve">Data comparing Bantul Regency and Yogyakarta City indicated that Bantul falls behind in revenue generation and its percentage contribution to total revenue despite having a larger population and area than Yogyakarta City. The reason is the imbalance in potential and the difference in the number and type of leading sectors owned by the region based on research by </w:t>
      </w:r>
      <w:proofErr w:type="spellStart"/>
      <w:r w:rsidRPr="00FA2F47">
        <w:rPr>
          <w:rFonts w:eastAsia="Calibri"/>
          <w:lang w:eastAsia="en-US"/>
        </w:rPr>
        <w:t>Rosyidah</w:t>
      </w:r>
      <w:proofErr w:type="spellEnd"/>
      <w:r w:rsidRPr="00FA2F47">
        <w:rPr>
          <w:rFonts w:eastAsia="Calibri"/>
          <w:lang w:eastAsia="en-US"/>
        </w:rPr>
        <w:t xml:space="preserve"> (2022). Bantul Regency has 6 leading sectors, while Yogyakarta City has 11 leading sectors. Tourism has become the leading sector in Yogyakarta City. This difference impacts a region’s potential income and PAD because the influence of the tourism sector and economic growth can increase the PAD of a region (</w:t>
      </w:r>
      <w:proofErr w:type="spellStart"/>
      <w:r w:rsidRPr="00FA2F47">
        <w:rPr>
          <w:rFonts w:eastAsia="Calibri"/>
          <w:lang w:eastAsia="en-US"/>
        </w:rPr>
        <w:t>Suot</w:t>
      </w:r>
      <w:proofErr w:type="spellEnd"/>
      <w:r w:rsidRPr="00FA2F47">
        <w:rPr>
          <w:rFonts w:eastAsia="Calibri"/>
          <w:lang w:eastAsia="en-US"/>
        </w:rPr>
        <w:t xml:space="preserve"> et al., 2021; </w:t>
      </w:r>
      <w:proofErr w:type="spellStart"/>
      <w:r w:rsidRPr="00FA2F47">
        <w:rPr>
          <w:rFonts w:eastAsia="Calibri"/>
          <w:lang w:eastAsia="en-US"/>
        </w:rPr>
        <w:t>Wadjaudje</w:t>
      </w:r>
      <w:proofErr w:type="spellEnd"/>
      <w:r w:rsidRPr="00FA2F47">
        <w:rPr>
          <w:rFonts w:eastAsia="Calibri"/>
          <w:lang w:eastAsia="en-US"/>
        </w:rPr>
        <w:t xml:space="preserve"> et al., 2018). (Table </w:t>
      </w:r>
      <w:r>
        <w:rPr>
          <w:rFonts w:eastAsia="Calibri"/>
          <w:lang w:eastAsia="en-US"/>
        </w:rPr>
        <w:t>4</w:t>
      </w:r>
      <w:r w:rsidRPr="00FA2F47">
        <w:rPr>
          <w:rFonts w:eastAsia="Calibri"/>
          <w:lang w:eastAsia="en-US"/>
        </w:rPr>
        <w:t xml:space="preserve">) </w:t>
      </w:r>
    </w:p>
    <w:p w14:paraId="6186D911" w14:textId="77777777" w:rsidR="00FA2F47" w:rsidRDefault="00FA2F47" w:rsidP="007458BA">
      <w:pPr>
        <w:pStyle w:val="Caption"/>
        <w:keepNext/>
        <w:spacing w:after="0"/>
        <w:jc w:val="both"/>
        <w:rPr>
          <w:lang w:val="it-IT"/>
        </w:rPr>
      </w:pPr>
      <w:r w:rsidRPr="00E37734">
        <w:rPr>
          <w:lang w:val="it-IT"/>
        </w:rPr>
        <w:t>Table</w:t>
      </w:r>
      <w:r w:rsidRPr="009A4D5A">
        <w:rPr>
          <w:lang w:val="it-IT"/>
        </w:rPr>
        <w:t xml:space="preserve"> </w:t>
      </w:r>
      <w:r>
        <w:fldChar w:fldCharType="begin"/>
      </w:r>
      <w:r w:rsidRPr="009A4D5A">
        <w:rPr>
          <w:lang w:val="it-IT"/>
        </w:rPr>
        <w:instrText xml:space="preserve"> SEQ Table \* ARABIC </w:instrText>
      </w:r>
      <w:r>
        <w:fldChar w:fldCharType="separate"/>
      </w:r>
      <w:r>
        <w:rPr>
          <w:noProof/>
          <w:lang w:val="it-IT"/>
        </w:rPr>
        <w:t>4</w:t>
      </w:r>
      <w:r>
        <w:fldChar w:fldCharType="end"/>
      </w:r>
      <w:r w:rsidRPr="009A4D5A">
        <w:rPr>
          <w:lang w:val="it-IT"/>
        </w:rPr>
        <w:t>.</w:t>
      </w:r>
      <w:r>
        <w:rPr>
          <w:lang w:val="it-IT"/>
        </w:rPr>
        <w:t xml:space="preserve"> </w:t>
      </w:r>
      <w:r w:rsidRPr="00227CD9">
        <w:rPr>
          <w:lang w:val="it-IT"/>
        </w:rPr>
        <w:t>Comparison of PAD between Bantul Regency and Yogyakarta City</w:t>
      </w:r>
    </w:p>
    <w:p w14:paraId="0D42437C" w14:textId="77777777" w:rsidR="00FA2F47" w:rsidRPr="004A50C3" w:rsidRDefault="00FA2F47" w:rsidP="007458BA">
      <w:pPr>
        <w:rPr>
          <w:lang w:val="it-IT"/>
        </w:rPr>
      </w:pPr>
    </w:p>
    <w:tbl>
      <w:tblPr>
        <w:tblStyle w:val="PlainTable2"/>
        <w:tblW w:w="0" w:type="auto"/>
        <w:tblLook w:val="04A0" w:firstRow="1" w:lastRow="0" w:firstColumn="1" w:lastColumn="0" w:noHBand="0" w:noVBand="1"/>
      </w:tblPr>
      <w:tblGrid>
        <w:gridCol w:w="1037"/>
        <w:gridCol w:w="1532"/>
        <w:gridCol w:w="1413"/>
        <w:gridCol w:w="1384"/>
        <w:gridCol w:w="1532"/>
        <w:gridCol w:w="1413"/>
        <w:gridCol w:w="1384"/>
      </w:tblGrid>
      <w:tr w:rsidR="00FA2F47" w:rsidRPr="009A4D5A" w14:paraId="48A429BC" w14:textId="77777777" w:rsidTr="00FA2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223AB83" w14:textId="77777777" w:rsidR="00FA2F47" w:rsidRPr="009A4D5A" w:rsidRDefault="00FA2F47" w:rsidP="007458BA">
            <w:pPr>
              <w:jc w:val="center"/>
              <w:rPr>
                <w:rFonts w:eastAsia="Calibri"/>
                <w:sz w:val="12"/>
                <w:szCs w:val="12"/>
                <w:lang w:val="id-ID"/>
              </w:rPr>
            </w:pPr>
            <w:r w:rsidRPr="009A4D5A">
              <w:rPr>
                <w:rFonts w:eastAsia="Calibri"/>
                <w:sz w:val="12"/>
                <w:szCs w:val="12"/>
                <w:lang w:val="id-ID"/>
              </w:rPr>
              <w:t>PAD</w:t>
            </w:r>
          </w:p>
        </w:tc>
        <w:tc>
          <w:tcPr>
            <w:tcW w:w="0" w:type="auto"/>
            <w:gridSpan w:val="3"/>
          </w:tcPr>
          <w:p w14:paraId="6D7794A8" w14:textId="77777777" w:rsidR="00FA2F47" w:rsidRPr="009A4D5A" w:rsidRDefault="00FA2F47" w:rsidP="007458BA">
            <w:pPr>
              <w:jc w:val="center"/>
              <w:cnfStyle w:val="100000000000" w:firstRow="1" w:lastRow="0" w:firstColumn="0" w:lastColumn="0" w:oddVBand="0" w:evenVBand="0" w:oddHBand="0" w:evenHBand="0" w:firstRowFirstColumn="0" w:firstRowLastColumn="0" w:lastRowFirstColumn="0" w:lastRowLastColumn="0"/>
              <w:rPr>
                <w:rFonts w:eastAsia="Calibri"/>
                <w:sz w:val="12"/>
                <w:szCs w:val="12"/>
                <w:lang w:val="id-ID"/>
              </w:rPr>
            </w:pPr>
            <w:r>
              <w:rPr>
                <w:rFonts w:eastAsia="Calibri"/>
                <w:sz w:val="12"/>
                <w:szCs w:val="12"/>
                <w:lang w:val="id-ID"/>
              </w:rPr>
              <w:t>Bantul Regency</w:t>
            </w:r>
          </w:p>
        </w:tc>
        <w:tc>
          <w:tcPr>
            <w:tcW w:w="0" w:type="auto"/>
            <w:gridSpan w:val="3"/>
          </w:tcPr>
          <w:p w14:paraId="1F8EE998" w14:textId="77777777" w:rsidR="00FA2F47" w:rsidRPr="009A4D5A" w:rsidRDefault="00FA2F47" w:rsidP="007458BA">
            <w:pPr>
              <w:jc w:val="center"/>
              <w:cnfStyle w:val="100000000000" w:firstRow="1" w:lastRow="0" w:firstColumn="0" w:lastColumn="0" w:oddVBand="0" w:evenVBand="0" w:oddHBand="0" w:evenHBand="0" w:firstRowFirstColumn="0" w:firstRowLastColumn="0" w:lastRowFirstColumn="0" w:lastRowLastColumn="0"/>
              <w:rPr>
                <w:rFonts w:eastAsia="Calibri"/>
                <w:sz w:val="12"/>
                <w:szCs w:val="12"/>
                <w:lang w:val="id-ID"/>
              </w:rPr>
            </w:pPr>
            <w:r>
              <w:rPr>
                <w:rFonts w:eastAsia="Calibri"/>
                <w:sz w:val="12"/>
                <w:szCs w:val="12"/>
                <w:lang w:val="id-ID"/>
              </w:rPr>
              <w:t>Yogyakarta City</w:t>
            </w:r>
          </w:p>
        </w:tc>
      </w:tr>
      <w:tr w:rsidR="00FA2F47" w:rsidRPr="009A4D5A" w14:paraId="6B832C47" w14:textId="77777777" w:rsidTr="00FA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CE1F001" w14:textId="77777777" w:rsidR="00FA2F47" w:rsidRPr="009A4D5A" w:rsidRDefault="00FA2F47" w:rsidP="007458BA">
            <w:pPr>
              <w:jc w:val="center"/>
              <w:rPr>
                <w:rFonts w:eastAsia="Calibri"/>
                <w:sz w:val="12"/>
                <w:szCs w:val="12"/>
                <w:lang w:val="id-ID"/>
              </w:rPr>
            </w:pPr>
          </w:p>
        </w:tc>
        <w:tc>
          <w:tcPr>
            <w:tcW w:w="0" w:type="auto"/>
          </w:tcPr>
          <w:p w14:paraId="62C146FB"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Value (Rp)</w:t>
            </w:r>
          </w:p>
        </w:tc>
        <w:tc>
          <w:tcPr>
            <w:tcW w:w="0" w:type="auto"/>
          </w:tcPr>
          <w:p w14:paraId="2BCCE540"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Contribution Value (%)</w:t>
            </w:r>
          </w:p>
        </w:tc>
        <w:tc>
          <w:tcPr>
            <w:tcW w:w="0" w:type="auto"/>
          </w:tcPr>
          <w:p w14:paraId="6E838876"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Potential Value</w:t>
            </w:r>
          </w:p>
        </w:tc>
        <w:tc>
          <w:tcPr>
            <w:tcW w:w="0" w:type="auto"/>
          </w:tcPr>
          <w:p w14:paraId="47170A42"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Value (Rp)</w:t>
            </w:r>
          </w:p>
        </w:tc>
        <w:tc>
          <w:tcPr>
            <w:tcW w:w="0" w:type="auto"/>
          </w:tcPr>
          <w:p w14:paraId="59F15553"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Contribution Value (%)</w:t>
            </w:r>
          </w:p>
        </w:tc>
        <w:tc>
          <w:tcPr>
            <w:tcW w:w="0" w:type="auto"/>
          </w:tcPr>
          <w:p w14:paraId="1A6338B5"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Potential Value</w:t>
            </w:r>
          </w:p>
        </w:tc>
      </w:tr>
      <w:tr w:rsidR="00FA2F47" w:rsidRPr="009A4D5A" w14:paraId="2AFC91EC" w14:textId="77777777" w:rsidTr="00FA2F47">
        <w:tc>
          <w:tcPr>
            <w:cnfStyle w:val="001000000000" w:firstRow="0" w:lastRow="0" w:firstColumn="1" w:lastColumn="0" w:oddVBand="0" w:evenVBand="0" w:oddHBand="0" w:evenHBand="0" w:firstRowFirstColumn="0" w:firstRowLastColumn="0" w:lastRowFirstColumn="0" w:lastRowLastColumn="0"/>
            <w:tcW w:w="0" w:type="auto"/>
          </w:tcPr>
          <w:p w14:paraId="2246864C" w14:textId="77777777" w:rsidR="00FA2F47" w:rsidRPr="00EA40B8" w:rsidRDefault="00FA2F47" w:rsidP="007458BA">
            <w:pPr>
              <w:jc w:val="center"/>
              <w:rPr>
                <w:rFonts w:eastAsia="Calibri"/>
                <w:b w:val="0"/>
                <w:bCs w:val="0"/>
                <w:sz w:val="12"/>
                <w:szCs w:val="12"/>
                <w:lang w:val="id-ID"/>
              </w:rPr>
            </w:pPr>
            <w:r>
              <w:rPr>
                <w:rFonts w:eastAsia="Calibri"/>
                <w:sz w:val="12"/>
                <w:szCs w:val="12"/>
                <w:lang w:val="id-ID"/>
              </w:rPr>
              <w:t>A1</w:t>
            </w:r>
          </w:p>
        </w:tc>
        <w:tc>
          <w:tcPr>
            <w:tcW w:w="0" w:type="auto"/>
          </w:tcPr>
          <w:p w14:paraId="069AD7AC"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4</w:t>
            </w:r>
            <w:r>
              <w:rPr>
                <w:rFonts w:eastAsia="Calibri"/>
                <w:sz w:val="12"/>
                <w:szCs w:val="12"/>
                <w:lang w:val="en-GB"/>
              </w:rPr>
              <w:t>.</w:t>
            </w:r>
            <w:r w:rsidRPr="009A4D5A">
              <w:rPr>
                <w:rFonts w:eastAsia="Calibri"/>
                <w:sz w:val="12"/>
                <w:szCs w:val="12"/>
                <w:lang w:val="en-GB"/>
              </w:rPr>
              <w:t>024</w:t>
            </w:r>
            <w:r>
              <w:rPr>
                <w:rFonts w:eastAsia="Calibri"/>
                <w:sz w:val="12"/>
                <w:szCs w:val="12"/>
                <w:lang w:val="en-GB"/>
              </w:rPr>
              <w:t>.</w:t>
            </w:r>
            <w:r w:rsidRPr="009A4D5A">
              <w:rPr>
                <w:rFonts w:eastAsia="Calibri"/>
                <w:sz w:val="12"/>
                <w:szCs w:val="12"/>
                <w:lang w:val="en-GB"/>
              </w:rPr>
              <w:t>058</w:t>
            </w:r>
            <w:r>
              <w:rPr>
                <w:rFonts w:eastAsia="Calibri"/>
                <w:sz w:val="12"/>
                <w:szCs w:val="12"/>
                <w:lang w:val="en-GB"/>
              </w:rPr>
              <w:t>,</w:t>
            </w:r>
            <w:r w:rsidRPr="009A4D5A">
              <w:rPr>
                <w:rFonts w:eastAsia="Calibri"/>
                <w:sz w:val="12"/>
                <w:szCs w:val="12"/>
                <w:lang w:val="en-GB"/>
              </w:rPr>
              <w:t>128</w:t>
            </w:r>
          </w:p>
        </w:tc>
        <w:tc>
          <w:tcPr>
            <w:tcW w:w="0" w:type="auto"/>
          </w:tcPr>
          <w:p w14:paraId="7D508E96"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0.19</w:t>
            </w:r>
          </w:p>
        </w:tc>
        <w:tc>
          <w:tcPr>
            <w:tcW w:w="0" w:type="auto"/>
          </w:tcPr>
          <w:p w14:paraId="167B1E09" w14:textId="77777777" w:rsidR="00FA2F47"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en-GB"/>
              </w:rPr>
            </w:pPr>
            <w:r w:rsidRPr="009A4D5A">
              <w:rPr>
                <w:rFonts w:eastAsia="Calibri"/>
                <w:sz w:val="12"/>
                <w:szCs w:val="12"/>
                <w:lang w:val="en-GB"/>
              </w:rPr>
              <w:t>306</w:t>
            </w:r>
          </w:p>
          <w:p w14:paraId="0C3BF765"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(Hotel</w:t>
            </w:r>
            <w:r>
              <w:rPr>
                <w:rFonts w:eastAsia="Calibri"/>
                <w:sz w:val="12"/>
                <w:szCs w:val="12"/>
                <w:lang w:val="en-GB"/>
              </w:rPr>
              <w:t>s</w:t>
            </w:r>
            <w:r w:rsidRPr="009A4D5A">
              <w:rPr>
                <w:rFonts w:eastAsia="Calibri"/>
                <w:sz w:val="12"/>
                <w:szCs w:val="12"/>
                <w:lang w:val="en-GB"/>
              </w:rPr>
              <w:t>)</w:t>
            </w:r>
          </w:p>
        </w:tc>
        <w:tc>
          <w:tcPr>
            <w:tcW w:w="0" w:type="auto"/>
          </w:tcPr>
          <w:p w14:paraId="738E930A"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106</w:t>
            </w:r>
            <w:r>
              <w:rPr>
                <w:rFonts w:eastAsia="Calibri"/>
                <w:sz w:val="12"/>
                <w:szCs w:val="12"/>
                <w:lang w:val="en-GB"/>
              </w:rPr>
              <w:t>.</w:t>
            </w:r>
            <w:r w:rsidRPr="009A4D5A">
              <w:rPr>
                <w:rFonts w:eastAsia="Calibri"/>
                <w:sz w:val="12"/>
                <w:szCs w:val="12"/>
                <w:lang w:val="en-GB"/>
              </w:rPr>
              <w:t>200</w:t>
            </w:r>
            <w:r>
              <w:rPr>
                <w:rFonts w:eastAsia="Calibri"/>
                <w:sz w:val="12"/>
                <w:szCs w:val="12"/>
                <w:lang w:val="en-GB"/>
              </w:rPr>
              <w:t>.</w:t>
            </w:r>
            <w:r w:rsidRPr="009A4D5A">
              <w:rPr>
                <w:rFonts w:eastAsia="Calibri"/>
                <w:sz w:val="12"/>
                <w:szCs w:val="12"/>
                <w:lang w:val="en-GB"/>
              </w:rPr>
              <w:t xml:space="preserve">000 </w:t>
            </w:r>
          </w:p>
        </w:tc>
        <w:tc>
          <w:tcPr>
            <w:tcW w:w="0" w:type="auto"/>
          </w:tcPr>
          <w:p w14:paraId="3FABCD0F"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6.23</w:t>
            </w:r>
          </w:p>
        </w:tc>
        <w:tc>
          <w:tcPr>
            <w:tcW w:w="0" w:type="auto"/>
          </w:tcPr>
          <w:p w14:paraId="3CE69DFA" w14:textId="77777777" w:rsidR="00FA2F47"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en-GB"/>
              </w:rPr>
            </w:pPr>
            <w:r w:rsidRPr="009A4D5A">
              <w:rPr>
                <w:rFonts w:eastAsia="Calibri"/>
                <w:sz w:val="12"/>
                <w:szCs w:val="12"/>
                <w:lang w:val="en-GB"/>
              </w:rPr>
              <w:t>619</w:t>
            </w:r>
          </w:p>
          <w:p w14:paraId="76475E60"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w:t>
            </w:r>
            <w:r>
              <w:rPr>
                <w:rFonts w:eastAsia="Calibri"/>
                <w:sz w:val="12"/>
                <w:szCs w:val="12"/>
                <w:lang w:val="en-GB"/>
              </w:rPr>
              <w:t>Hotels</w:t>
            </w:r>
            <w:r w:rsidRPr="009A4D5A">
              <w:rPr>
                <w:rFonts w:eastAsia="Calibri"/>
                <w:sz w:val="12"/>
                <w:szCs w:val="12"/>
                <w:lang w:val="en-GB"/>
              </w:rPr>
              <w:t>)</w:t>
            </w:r>
          </w:p>
        </w:tc>
      </w:tr>
      <w:tr w:rsidR="00FA2F47" w:rsidRPr="009A4D5A" w14:paraId="205D2A9C" w14:textId="77777777" w:rsidTr="00FA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76C6C1" w14:textId="77777777" w:rsidR="00FA2F47" w:rsidRPr="009A4D5A" w:rsidRDefault="00FA2F47" w:rsidP="007458BA">
            <w:pPr>
              <w:jc w:val="center"/>
              <w:rPr>
                <w:rFonts w:eastAsia="Calibri"/>
                <w:sz w:val="12"/>
                <w:szCs w:val="12"/>
                <w:lang w:val="id-ID"/>
              </w:rPr>
            </w:pPr>
            <w:r>
              <w:rPr>
                <w:rFonts w:eastAsia="Calibri"/>
                <w:sz w:val="12"/>
                <w:szCs w:val="12"/>
                <w:lang w:val="id-ID"/>
              </w:rPr>
              <w:t>A2</w:t>
            </w:r>
          </w:p>
        </w:tc>
        <w:tc>
          <w:tcPr>
            <w:tcW w:w="0" w:type="auto"/>
          </w:tcPr>
          <w:p w14:paraId="05B3A08D"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9A4D5A">
              <w:rPr>
                <w:rFonts w:eastAsia="Calibri"/>
                <w:sz w:val="12"/>
                <w:szCs w:val="12"/>
                <w:lang w:val="en-GB"/>
              </w:rPr>
              <w:t>16</w:t>
            </w:r>
            <w:r>
              <w:rPr>
                <w:rFonts w:eastAsia="Calibri"/>
                <w:sz w:val="12"/>
                <w:szCs w:val="12"/>
                <w:lang w:val="en-GB"/>
              </w:rPr>
              <w:t>.</w:t>
            </w:r>
            <w:r w:rsidRPr="009A4D5A">
              <w:rPr>
                <w:rFonts w:eastAsia="Calibri"/>
                <w:sz w:val="12"/>
                <w:szCs w:val="12"/>
                <w:lang w:val="en-GB"/>
              </w:rPr>
              <w:t>348</w:t>
            </w:r>
            <w:r>
              <w:rPr>
                <w:rFonts w:eastAsia="Calibri"/>
                <w:sz w:val="12"/>
                <w:szCs w:val="12"/>
                <w:lang w:val="en-GB"/>
              </w:rPr>
              <w:t>.</w:t>
            </w:r>
            <w:r w:rsidRPr="009A4D5A">
              <w:rPr>
                <w:rFonts w:eastAsia="Calibri"/>
                <w:sz w:val="12"/>
                <w:szCs w:val="12"/>
                <w:lang w:val="en-GB"/>
              </w:rPr>
              <w:t>060,592</w:t>
            </w:r>
          </w:p>
        </w:tc>
        <w:tc>
          <w:tcPr>
            <w:tcW w:w="0" w:type="auto"/>
          </w:tcPr>
          <w:p w14:paraId="5722EACF"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9A4D5A">
              <w:rPr>
                <w:rFonts w:eastAsia="Calibri"/>
                <w:sz w:val="12"/>
                <w:szCs w:val="12"/>
                <w:lang w:val="en-GB"/>
              </w:rPr>
              <w:t>0.76</w:t>
            </w:r>
          </w:p>
        </w:tc>
        <w:tc>
          <w:tcPr>
            <w:tcW w:w="0" w:type="auto"/>
          </w:tcPr>
          <w:p w14:paraId="7196D9C4" w14:textId="77777777" w:rsidR="00FA2F47"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en-GB"/>
              </w:rPr>
            </w:pPr>
            <w:r w:rsidRPr="009A4D5A">
              <w:rPr>
                <w:rFonts w:eastAsia="Calibri"/>
                <w:sz w:val="12"/>
                <w:szCs w:val="12"/>
                <w:lang w:val="en-GB"/>
              </w:rPr>
              <w:t>166</w:t>
            </w:r>
          </w:p>
          <w:p w14:paraId="432D3AD9"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9A4D5A">
              <w:rPr>
                <w:rFonts w:eastAsia="Calibri"/>
                <w:sz w:val="12"/>
                <w:szCs w:val="12"/>
                <w:lang w:val="en-GB"/>
              </w:rPr>
              <w:t>(</w:t>
            </w:r>
            <w:r>
              <w:rPr>
                <w:rFonts w:eastAsia="Calibri"/>
                <w:sz w:val="12"/>
                <w:szCs w:val="12"/>
                <w:lang w:val="en-GB"/>
              </w:rPr>
              <w:t>Restaurants</w:t>
            </w:r>
            <w:r w:rsidRPr="009A4D5A">
              <w:rPr>
                <w:rFonts w:eastAsia="Calibri"/>
                <w:sz w:val="12"/>
                <w:szCs w:val="12"/>
                <w:lang w:val="en-GB"/>
              </w:rPr>
              <w:t>)</w:t>
            </w:r>
          </w:p>
        </w:tc>
        <w:tc>
          <w:tcPr>
            <w:tcW w:w="0" w:type="auto"/>
          </w:tcPr>
          <w:p w14:paraId="39378068"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9A4D5A">
              <w:rPr>
                <w:rFonts w:eastAsia="Calibri"/>
                <w:sz w:val="12"/>
                <w:szCs w:val="12"/>
                <w:lang w:val="en-GB"/>
              </w:rPr>
              <w:t>Rp   52,215,000,000.00</w:t>
            </w:r>
          </w:p>
        </w:tc>
        <w:tc>
          <w:tcPr>
            <w:tcW w:w="0" w:type="auto"/>
          </w:tcPr>
          <w:p w14:paraId="2145ED00"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9A4D5A">
              <w:rPr>
                <w:rFonts w:eastAsia="Calibri"/>
                <w:sz w:val="12"/>
                <w:szCs w:val="12"/>
                <w:lang w:val="en-GB"/>
              </w:rPr>
              <w:t>3.06</w:t>
            </w:r>
          </w:p>
        </w:tc>
        <w:tc>
          <w:tcPr>
            <w:tcW w:w="0" w:type="auto"/>
          </w:tcPr>
          <w:p w14:paraId="12A1DCF7" w14:textId="77777777" w:rsidR="00FA2F47"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en-GB"/>
              </w:rPr>
            </w:pPr>
            <w:r w:rsidRPr="009A4D5A">
              <w:rPr>
                <w:rFonts w:eastAsia="Calibri"/>
                <w:sz w:val="12"/>
                <w:szCs w:val="12"/>
                <w:lang w:val="en-GB"/>
              </w:rPr>
              <w:t>200</w:t>
            </w:r>
          </w:p>
          <w:p w14:paraId="66A6998A"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9A4D5A">
              <w:rPr>
                <w:rFonts w:eastAsia="Calibri"/>
                <w:sz w:val="12"/>
                <w:szCs w:val="12"/>
                <w:lang w:val="en-GB"/>
              </w:rPr>
              <w:t>(</w:t>
            </w:r>
            <w:r>
              <w:rPr>
                <w:rFonts w:eastAsia="Calibri"/>
                <w:sz w:val="12"/>
                <w:szCs w:val="12"/>
                <w:lang w:val="en-GB"/>
              </w:rPr>
              <w:t>Restaurants</w:t>
            </w:r>
            <w:r w:rsidRPr="009A4D5A">
              <w:rPr>
                <w:rFonts w:eastAsia="Calibri"/>
                <w:sz w:val="12"/>
                <w:szCs w:val="12"/>
                <w:lang w:val="en-GB"/>
              </w:rPr>
              <w:t>)</w:t>
            </w:r>
          </w:p>
        </w:tc>
      </w:tr>
      <w:tr w:rsidR="00FA2F47" w:rsidRPr="009A4D5A" w14:paraId="64A87460" w14:textId="77777777" w:rsidTr="00FA2F47">
        <w:tc>
          <w:tcPr>
            <w:cnfStyle w:val="001000000000" w:firstRow="0" w:lastRow="0" w:firstColumn="1" w:lastColumn="0" w:oddVBand="0" w:evenVBand="0" w:oddHBand="0" w:evenHBand="0" w:firstRowFirstColumn="0" w:firstRowLastColumn="0" w:lastRowFirstColumn="0" w:lastRowLastColumn="0"/>
            <w:tcW w:w="0" w:type="auto"/>
          </w:tcPr>
          <w:p w14:paraId="31387698" w14:textId="77777777" w:rsidR="00FA2F47" w:rsidRPr="009A4D5A" w:rsidRDefault="00FA2F47" w:rsidP="007458BA">
            <w:pPr>
              <w:jc w:val="center"/>
              <w:rPr>
                <w:rFonts w:eastAsia="Calibri"/>
                <w:sz w:val="12"/>
                <w:szCs w:val="12"/>
                <w:lang w:val="id-ID"/>
              </w:rPr>
            </w:pPr>
            <w:r>
              <w:rPr>
                <w:rFonts w:eastAsia="Calibri"/>
                <w:sz w:val="12"/>
                <w:szCs w:val="12"/>
                <w:lang w:val="id-ID"/>
              </w:rPr>
              <w:t>A3</w:t>
            </w:r>
          </w:p>
        </w:tc>
        <w:tc>
          <w:tcPr>
            <w:tcW w:w="0" w:type="auto"/>
          </w:tcPr>
          <w:p w14:paraId="5E2A697A"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55</w:t>
            </w:r>
            <w:r>
              <w:rPr>
                <w:rFonts w:eastAsia="Calibri"/>
                <w:sz w:val="12"/>
                <w:szCs w:val="12"/>
                <w:lang w:val="en-GB"/>
              </w:rPr>
              <w:t>.</w:t>
            </w:r>
            <w:r w:rsidRPr="009A4D5A">
              <w:rPr>
                <w:rFonts w:eastAsia="Calibri"/>
                <w:sz w:val="12"/>
                <w:szCs w:val="12"/>
                <w:lang w:val="en-GB"/>
              </w:rPr>
              <w:t>125</w:t>
            </w:r>
            <w:r>
              <w:rPr>
                <w:rFonts w:eastAsia="Calibri"/>
                <w:sz w:val="12"/>
                <w:szCs w:val="12"/>
                <w:lang w:val="en-GB"/>
              </w:rPr>
              <w:t>.</w:t>
            </w:r>
            <w:r w:rsidRPr="009A4D5A">
              <w:rPr>
                <w:rFonts w:eastAsia="Calibri"/>
                <w:sz w:val="12"/>
                <w:szCs w:val="12"/>
                <w:lang w:val="en-GB"/>
              </w:rPr>
              <w:t>000</w:t>
            </w:r>
          </w:p>
        </w:tc>
        <w:tc>
          <w:tcPr>
            <w:tcW w:w="0" w:type="auto"/>
          </w:tcPr>
          <w:p w14:paraId="1C1D595F"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2.57</w:t>
            </w:r>
          </w:p>
        </w:tc>
        <w:tc>
          <w:tcPr>
            <w:tcW w:w="0" w:type="auto"/>
          </w:tcPr>
          <w:p w14:paraId="2CFA4224"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Rp    108</w:t>
            </w:r>
            <w:r>
              <w:rPr>
                <w:rFonts w:eastAsia="Calibri"/>
                <w:sz w:val="12"/>
                <w:szCs w:val="12"/>
                <w:lang w:val="en-GB"/>
              </w:rPr>
              <w:t>.</w:t>
            </w:r>
            <w:r w:rsidRPr="009A4D5A">
              <w:rPr>
                <w:rFonts w:eastAsia="Calibri"/>
                <w:sz w:val="12"/>
                <w:szCs w:val="12"/>
                <w:lang w:val="en-GB"/>
              </w:rPr>
              <w:t>759</w:t>
            </w:r>
            <w:r>
              <w:rPr>
                <w:rFonts w:eastAsia="Calibri"/>
                <w:sz w:val="12"/>
                <w:szCs w:val="12"/>
                <w:lang w:val="en-GB"/>
              </w:rPr>
              <w:t>.</w:t>
            </w:r>
            <w:r w:rsidRPr="009A4D5A">
              <w:rPr>
                <w:rFonts w:eastAsia="Calibri"/>
                <w:sz w:val="12"/>
                <w:szCs w:val="12"/>
                <w:lang w:val="en-GB"/>
              </w:rPr>
              <w:t>988</w:t>
            </w:r>
            <w:r>
              <w:rPr>
                <w:rFonts w:eastAsia="Calibri"/>
                <w:sz w:val="12"/>
                <w:szCs w:val="12"/>
                <w:lang w:val="en-GB"/>
              </w:rPr>
              <w:t>,</w:t>
            </w:r>
            <w:r w:rsidRPr="009A4D5A">
              <w:rPr>
                <w:rFonts w:eastAsia="Calibri"/>
                <w:sz w:val="12"/>
                <w:szCs w:val="12"/>
                <w:lang w:val="en-GB"/>
              </w:rPr>
              <w:t>16/KM2</w:t>
            </w:r>
          </w:p>
        </w:tc>
        <w:tc>
          <w:tcPr>
            <w:tcW w:w="0" w:type="auto"/>
          </w:tcPr>
          <w:p w14:paraId="17C83480"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97</w:t>
            </w:r>
            <w:r>
              <w:rPr>
                <w:rFonts w:eastAsia="Calibri"/>
                <w:sz w:val="12"/>
                <w:szCs w:val="12"/>
                <w:lang w:val="en-GB"/>
              </w:rPr>
              <w:t>.</w:t>
            </w:r>
            <w:r w:rsidRPr="009A4D5A">
              <w:rPr>
                <w:rFonts w:eastAsia="Calibri"/>
                <w:sz w:val="12"/>
                <w:szCs w:val="12"/>
                <w:lang w:val="en-GB"/>
              </w:rPr>
              <w:t>000</w:t>
            </w:r>
            <w:r>
              <w:rPr>
                <w:rFonts w:eastAsia="Calibri"/>
                <w:sz w:val="12"/>
                <w:szCs w:val="12"/>
                <w:lang w:val="en-GB"/>
              </w:rPr>
              <w:t>.</w:t>
            </w:r>
            <w:r w:rsidRPr="009A4D5A">
              <w:rPr>
                <w:rFonts w:eastAsia="Calibri"/>
                <w:sz w:val="12"/>
                <w:szCs w:val="12"/>
                <w:lang w:val="en-GB"/>
              </w:rPr>
              <w:t>000</w:t>
            </w:r>
          </w:p>
        </w:tc>
        <w:tc>
          <w:tcPr>
            <w:tcW w:w="0" w:type="auto"/>
          </w:tcPr>
          <w:p w14:paraId="7692C8AC"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5.69</w:t>
            </w:r>
          </w:p>
        </w:tc>
        <w:tc>
          <w:tcPr>
            <w:tcW w:w="0" w:type="auto"/>
          </w:tcPr>
          <w:p w14:paraId="782954D5"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Rp 2</w:t>
            </w:r>
            <w:r>
              <w:rPr>
                <w:rFonts w:eastAsia="Calibri"/>
                <w:sz w:val="12"/>
                <w:szCs w:val="12"/>
                <w:lang w:val="en-GB"/>
              </w:rPr>
              <w:t>.</w:t>
            </w:r>
            <w:r w:rsidRPr="009A4D5A">
              <w:rPr>
                <w:rFonts w:eastAsia="Calibri"/>
                <w:sz w:val="12"/>
                <w:szCs w:val="12"/>
                <w:lang w:val="en-GB"/>
              </w:rPr>
              <w:t>984</w:t>
            </w:r>
            <w:r>
              <w:rPr>
                <w:rFonts w:eastAsia="Calibri"/>
                <w:sz w:val="12"/>
                <w:szCs w:val="12"/>
                <w:lang w:val="en-GB"/>
              </w:rPr>
              <w:t>.</w:t>
            </w:r>
            <w:r w:rsidRPr="009A4D5A">
              <w:rPr>
                <w:rFonts w:eastAsia="Calibri"/>
                <w:sz w:val="12"/>
                <w:szCs w:val="12"/>
                <w:lang w:val="en-GB"/>
              </w:rPr>
              <w:t>615,384</w:t>
            </w:r>
            <w:r>
              <w:rPr>
                <w:rFonts w:eastAsia="Calibri"/>
                <w:sz w:val="12"/>
                <w:szCs w:val="12"/>
                <w:lang w:val="en-GB"/>
              </w:rPr>
              <w:t>,</w:t>
            </w:r>
            <w:r w:rsidRPr="009A4D5A">
              <w:rPr>
                <w:rFonts w:eastAsia="Calibri"/>
                <w:sz w:val="12"/>
                <w:szCs w:val="12"/>
                <w:lang w:val="en-GB"/>
              </w:rPr>
              <w:t>62/KM2</w:t>
            </w:r>
          </w:p>
        </w:tc>
      </w:tr>
      <w:tr w:rsidR="00FA2F47" w:rsidRPr="009A4D5A" w14:paraId="18D5A07D" w14:textId="77777777" w:rsidTr="00FA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85709A" w14:textId="77777777" w:rsidR="00FA2F47" w:rsidRPr="009A4D5A" w:rsidRDefault="00FA2F47" w:rsidP="007458BA">
            <w:pPr>
              <w:jc w:val="center"/>
              <w:rPr>
                <w:rFonts w:eastAsia="Calibri"/>
                <w:sz w:val="12"/>
                <w:szCs w:val="12"/>
                <w:lang w:val="id-ID"/>
              </w:rPr>
            </w:pPr>
            <w:r>
              <w:rPr>
                <w:rFonts w:eastAsia="Calibri"/>
                <w:sz w:val="12"/>
                <w:szCs w:val="12"/>
                <w:lang w:val="id-ID"/>
              </w:rPr>
              <w:t>A4</w:t>
            </w:r>
          </w:p>
        </w:tc>
        <w:tc>
          <w:tcPr>
            <w:tcW w:w="0" w:type="auto"/>
          </w:tcPr>
          <w:p w14:paraId="733D82BC"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9A4D5A">
              <w:rPr>
                <w:rFonts w:eastAsia="Calibri"/>
                <w:sz w:val="12"/>
                <w:szCs w:val="12"/>
                <w:lang w:val="en-GB"/>
              </w:rPr>
              <w:t>2.066.598</w:t>
            </w:r>
            <w:r>
              <w:rPr>
                <w:rFonts w:eastAsia="Calibri"/>
                <w:sz w:val="12"/>
                <w:szCs w:val="12"/>
                <w:lang w:val="en-GB"/>
              </w:rPr>
              <w:t>,</w:t>
            </w:r>
            <w:r w:rsidRPr="009A4D5A">
              <w:rPr>
                <w:rFonts w:eastAsia="Calibri"/>
                <w:sz w:val="12"/>
                <w:szCs w:val="12"/>
                <w:lang w:val="en-GB"/>
              </w:rPr>
              <w:t xml:space="preserve">82 </w:t>
            </w:r>
          </w:p>
        </w:tc>
        <w:tc>
          <w:tcPr>
            <w:tcW w:w="0" w:type="auto"/>
          </w:tcPr>
          <w:p w14:paraId="19CD4861"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9A4D5A">
              <w:rPr>
                <w:rFonts w:eastAsia="Calibri"/>
                <w:sz w:val="12"/>
                <w:szCs w:val="12"/>
                <w:lang w:val="en-GB"/>
              </w:rPr>
              <w:t>0,10</w:t>
            </w:r>
          </w:p>
        </w:tc>
        <w:tc>
          <w:tcPr>
            <w:tcW w:w="0" w:type="auto"/>
          </w:tcPr>
          <w:p w14:paraId="735E823C"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9A4D5A">
              <w:rPr>
                <w:rFonts w:eastAsia="Calibri"/>
                <w:sz w:val="12"/>
                <w:szCs w:val="12"/>
                <w:lang w:val="en-GB"/>
              </w:rPr>
              <w:t xml:space="preserve"> Rp      4.077.338,11 /KM2</w:t>
            </w:r>
          </w:p>
        </w:tc>
        <w:tc>
          <w:tcPr>
            <w:tcW w:w="0" w:type="auto"/>
          </w:tcPr>
          <w:p w14:paraId="0BB71F34"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9A4D5A">
              <w:rPr>
                <w:rFonts w:eastAsia="Calibri"/>
                <w:sz w:val="12"/>
                <w:szCs w:val="12"/>
                <w:lang w:val="en-GB"/>
              </w:rPr>
              <w:t>3.926.536</w:t>
            </w:r>
          </w:p>
        </w:tc>
        <w:tc>
          <w:tcPr>
            <w:tcW w:w="0" w:type="auto"/>
          </w:tcPr>
          <w:p w14:paraId="0B34B47B"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9A4D5A">
              <w:rPr>
                <w:rFonts w:eastAsia="Calibri"/>
                <w:sz w:val="12"/>
                <w:szCs w:val="12"/>
                <w:lang w:val="en-GB"/>
              </w:rPr>
              <w:t>0,23</w:t>
            </w:r>
          </w:p>
        </w:tc>
        <w:tc>
          <w:tcPr>
            <w:tcW w:w="0" w:type="auto"/>
          </w:tcPr>
          <w:p w14:paraId="7FFC9B10"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9A4D5A">
              <w:rPr>
                <w:rFonts w:eastAsia="Calibri"/>
                <w:sz w:val="12"/>
                <w:szCs w:val="12"/>
                <w:lang w:val="en-GB"/>
              </w:rPr>
              <w:t xml:space="preserve"> Rp 120.816.492,31/KM2 </w:t>
            </w:r>
          </w:p>
        </w:tc>
      </w:tr>
      <w:tr w:rsidR="00FA2F47" w:rsidRPr="009A4D5A" w14:paraId="7F32B442" w14:textId="77777777" w:rsidTr="00FA2F47">
        <w:tc>
          <w:tcPr>
            <w:cnfStyle w:val="001000000000" w:firstRow="0" w:lastRow="0" w:firstColumn="1" w:lastColumn="0" w:oddVBand="0" w:evenVBand="0" w:oddHBand="0" w:evenHBand="0" w:firstRowFirstColumn="0" w:firstRowLastColumn="0" w:lastRowFirstColumn="0" w:lastRowLastColumn="0"/>
            <w:tcW w:w="0" w:type="auto"/>
          </w:tcPr>
          <w:p w14:paraId="567A8FA2" w14:textId="77777777" w:rsidR="00FA2F47" w:rsidRPr="009A4D5A" w:rsidRDefault="00FA2F47" w:rsidP="007458BA">
            <w:pPr>
              <w:jc w:val="center"/>
              <w:rPr>
                <w:rFonts w:eastAsia="Calibri"/>
                <w:sz w:val="12"/>
                <w:szCs w:val="12"/>
                <w:lang w:val="id-ID"/>
              </w:rPr>
            </w:pPr>
            <w:r>
              <w:rPr>
                <w:rFonts w:eastAsia="Calibri"/>
                <w:sz w:val="12"/>
                <w:szCs w:val="12"/>
                <w:lang w:val="id-ID"/>
              </w:rPr>
              <w:lastRenderedPageBreak/>
              <w:t>A5</w:t>
            </w:r>
          </w:p>
        </w:tc>
        <w:tc>
          <w:tcPr>
            <w:tcW w:w="0" w:type="auto"/>
          </w:tcPr>
          <w:p w14:paraId="36E52AD8"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194.950.168</w:t>
            </w:r>
            <w:r>
              <w:rPr>
                <w:rFonts w:eastAsia="Calibri"/>
                <w:sz w:val="12"/>
                <w:szCs w:val="12"/>
                <w:lang w:val="en-GB"/>
              </w:rPr>
              <w:t>,</w:t>
            </w:r>
            <w:r w:rsidRPr="009A4D5A">
              <w:rPr>
                <w:rFonts w:eastAsia="Calibri"/>
                <w:sz w:val="12"/>
                <w:szCs w:val="12"/>
                <w:lang w:val="en-GB"/>
              </w:rPr>
              <w:t xml:space="preserve">337 </w:t>
            </w:r>
          </w:p>
        </w:tc>
        <w:tc>
          <w:tcPr>
            <w:tcW w:w="0" w:type="auto"/>
          </w:tcPr>
          <w:p w14:paraId="10A97704"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9,10</w:t>
            </w:r>
          </w:p>
        </w:tc>
        <w:tc>
          <w:tcPr>
            <w:tcW w:w="0" w:type="auto"/>
          </w:tcPr>
          <w:p w14:paraId="50478010"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p>
        </w:tc>
        <w:tc>
          <w:tcPr>
            <w:tcW w:w="0" w:type="auto"/>
          </w:tcPr>
          <w:p w14:paraId="6208B4B6"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131.631.081</w:t>
            </w:r>
            <w:r>
              <w:rPr>
                <w:rFonts w:eastAsia="Calibri"/>
                <w:sz w:val="12"/>
                <w:szCs w:val="12"/>
                <w:lang w:val="en-GB"/>
              </w:rPr>
              <w:t>,</w:t>
            </w:r>
            <w:r w:rsidRPr="009A4D5A">
              <w:rPr>
                <w:rFonts w:eastAsia="Calibri"/>
                <w:sz w:val="12"/>
                <w:szCs w:val="12"/>
                <w:lang w:val="en-GB"/>
              </w:rPr>
              <w:t xml:space="preserve">463 </w:t>
            </w:r>
          </w:p>
        </w:tc>
        <w:tc>
          <w:tcPr>
            <w:tcW w:w="0" w:type="auto"/>
          </w:tcPr>
          <w:p w14:paraId="03098E3A"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9A4D5A">
              <w:rPr>
                <w:rFonts w:eastAsia="Calibri"/>
                <w:sz w:val="12"/>
                <w:szCs w:val="12"/>
                <w:lang w:val="en-GB"/>
              </w:rPr>
              <w:t>7,72</w:t>
            </w:r>
          </w:p>
        </w:tc>
        <w:tc>
          <w:tcPr>
            <w:tcW w:w="0" w:type="auto"/>
          </w:tcPr>
          <w:p w14:paraId="20A1EDF6"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p>
        </w:tc>
      </w:tr>
    </w:tbl>
    <w:p w14:paraId="37235529" w14:textId="2DAF310D" w:rsidR="00FA2F47" w:rsidRPr="00FA2F47" w:rsidRDefault="007458BA" w:rsidP="007458BA">
      <w:pPr>
        <w:spacing w:line="240" w:lineRule="auto"/>
        <w:rPr>
          <w:rFonts w:eastAsia="Calibri"/>
          <w:sz w:val="20"/>
          <w:szCs w:val="20"/>
          <w:lang w:val="en-GB"/>
        </w:rPr>
      </w:pPr>
      <w:r>
        <w:rPr>
          <w:noProof/>
        </w:rPr>
        <w:drawing>
          <wp:anchor distT="0" distB="0" distL="114300" distR="114300" simplePos="0" relativeHeight="251674624" behindDoc="1" locked="0" layoutInCell="1" allowOverlap="0" wp14:anchorId="34F97E97" wp14:editId="627A298A">
            <wp:simplePos x="0" y="0"/>
            <wp:positionH relativeFrom="column">
              <wp:posOffset>0</wp:posOffset>
            </wp:positionH>
            <wp:positionV relativeFrom="paragraph">
              <wp:posOffset>0</wp:posOffset>
            </wp:positionV>
            <wp:extent cx="6129020" cy="6129020"/>
            <wp:effectExtent l="0" t="0" r="0" b="0"/>
            <wp:wrapNone/>
            <wp:docPr id="28443775" name="Picture 2844377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00FA2F47" w:rsidRPr="0005748B">
        <w:rPr>
          <w:rFonts w:eastAsia="Calibri"/>
          <w:sz w:val="20"/>
          <w:szCs w:val="20"/>
          <w:lang w:val="id-ID"/>
        </w:rPr>
        <w:t>Source</w:t>
      </w:r>
      <w:r w:rsidR="00FA2F47">
        <w:rPr>
          <w:rFonts w:eastAsia="Calibri"/>
          <w:sz w:val="20"/>
          <w:szCs w:val="20"/>
          <w:lang w:val="id-ID"/>
        </w:rPr>
        <w:t xml:space="preserve">: </w:t>
      </w:r>
      <w:r w:rsidR="00FA2F47" w:rsidRPr="0005748B">
        <w:rPr>
          <w:rFonts w:eastAsia="Calibri"/>
          <w:sz w:val="20"/>
          <w:szCs w:val="20"/>
          <w:lang w:val="id-ID"/>
        </w:rPr>
        <w:t xml:space="preserve">APBD Bantul Regency in 2022, APBD Yogyakarta City in 2022, BPS Bantul Regency, BPS Yogyakarta City, BPS </w:t>
      </w:r>
      <w:r w:rsidR="00FA2F47">
        <w:rPr>
          <w:rFonts w:eastAsia="Calibri"/>
          <w:sz w:val="20"/>
          <w:szCs w:val="20"/>
          <w:lang w:val="id-ID"/>
        </w:rPr>
        <w:t xml:space="preserve">Special Region of </w:t>
      </w:r>
      <w:r w:rsidR="00FA2F47" w:rsidRPr="0005748B">
        <w:rPr>
          <w:rFonts w:eastAsia="Calibri"/>
          <w:sz w:val="20"/>
          <w:szCs w:val="20"/>
          <w:lang w:val="id-ID"/>
        </w:rPr>
        <w:t>Yogyakarta Province</w:t>
      </w:r>
      <w:r w:rsidR="00FA2F47">
        <w:rPr>
          <w:rFonts w:eastAsia="Calibri"/>
          <w:sz w:val="20"/>
          <w:szCs w:val="20"/>
          <w:lang w:val="en-GB"/>
        </w:rPr>
        <w:t xml:space="preserve">  </w:t>
      </w:r>
    </w:p>
    <w:p w14:paraId="62068E3A" w14:textId="0F0E0E6C" w:rsidR="00FA2F47" w:rsidRDefault="00FA2F47" w:rsidP="007458BA">
      <w:pPr>
        <w:ind w:firstLine="720"/>
        <w:rPr>
          <w:rFonts w:eastAsia="Calibri"/>
          <w:lang w:eastAsia="en-US"/>
        </w:rPr>
      </w:pPr>
      <w:r w:rsidRPr="00FA2F47">
        <w:rPr>
          <w:rFonts w:eastAsia="Calibri"/>
          <w:lang w:eastAsia="en-US"/>
        </w:rPr>
        <w:t xml:space="preserve">Based on the data in the table 5 above, there is a significant comparison between Pulang </w:t>
      </w:r>
      <w:proofErr w:type="spellStart"/>
      <w:r w:rsidRPr="00FA2F47">
        <w:rPr>
          <w:rFonts w:eastAsia="Calibri"/>
          <w:lang w:eastAsia="en-US"/>
        </w:rPr>
        <w:t>Pisau</w:t>
      </w:r>
      <w:proofErr w:type="spellEnd"/>
      <w:r w:rsidRPr="00FA2F47">
        <w:rPr>
          <w:rFonts w:eastAsia="Calibri"/>
          <w:lang w:eastAsia="en-US"/>
        </w:rPr>
        <w:t xml:space="preserve"> Regency and </w:t>
      </w:r>
      <w:proofErr w:type="spellStart"/>
      <w:r w:rsidRPr="00FA2F47">
        <w:rPr>
          <w:rFonts w:eastAsia="Calibri"/>
          <w:lang w:eastAsia="en-US"/>
        </w:rPr>
        <w:t>Palangkaraya</w:t>
      </w:r>
      <w:proofErr w:type="spellEnd"/>
      <w:r w:rsidRPr="00FA2F47">
        <w:rPr>
          <w:rFonts w:eastAsia="Calibri"/>
          <w:lang w:eastAsia="en-US"/>
        </w:rPr>
        <w:t xml:space="preserve"> City, even though Pulang </w:t>
      </w:r>
      <w:proofErr w:type="spellStart"/>
      <w:r w:rsidRPr="00FA2F47">
        <w:rPr>
          <w:rFonts w:eastAsia="Calibri"/>
          <w:lang w:eastAsia="en-US"/>
        </w:rPr>
        <w:t>Pisau</w:t>
      </w:r>
      <w:proofErr w:type="spellEnd"/>
      <w:r w:rsidRPr="00FA2F47">
        <w:rPr>
          <w:rFonts w:eastAsia="Calibri"/>
          <w:lang w:eastAsia="en-US"/>
        </w:rPr>
        <w:t xml:space="preserve"> Regency has more leading sectors than </w:t>
      </w:r>
      <w:proofErr w:type="spellStart"/>
      <w:r w:rsidRPr="00FA2F47">
        <w:rPr>
          <w:rFonts w:eastAsia="Calibri"/>
          <w:lang w:eastAsia="en-US"/>
        </w:rPr>
        <w:t>Palangkaraya</w:t>
      </w:r>
      <w:proofErr w:type="spellEnd"/>
      <w:r w:rsidRPr="00FA2F47">
        <w:rPr>
          <w:rFonts w:eastAsia="Calibri"/>
          <w:lang w:eastAsia="en-US"/>
        </w:rPr>
        <w:t xml:space="preserve"> City (Harati, 2023; </w:t>
      </w:r>
      <w:proofErr w:type="spellStart"/>
      <w:r w:rsidRPr="00FA2F47">
        <w:rPr>
          <w:rFonts w:eastAsia="Calibri"/>
          <w:lang w:eastAsia="en-US"/>
        </w:rPr>
        <w:t>Nurfaridah</w:t>
      </w:r>
      <w:proofErr w:type="spellEnd"/>
      <w:r w:rsidRPr="00FA2F47">
        <w:rPr>
          <w:rFonts w:eastAsia="Calibri"/>
          <w:lang w:eastAsia="en-US"/>
        </w:rPr>
        <w:t xml:space="preserve"> &amp; </w:t>
      </w:r>
      <w:proofErr w:type="spellStart"/>
      <w:r w:rsidRPr="00FA2F47">
        <w:rPr>
          <w:rFonts w:eastAsia="Calibri"/>
          <w:lang w:eastAsia="en-US"/>
        </w:rPr>
        <w:t>Suherty</w:t>
      </w:r>
      <w:proofErr w:type="spellEnd"/>
      <w:r w:rsidRPr="00FA2F47">
        <w:rPr>
          <w:rFonts w:eastAsia="Calibri"/>
          <w:lang w:eastAsia="en-US"/>
        </w:rPr>
        <w:t xml:space="preserve">, 2023). However, </w:t>
      </w:r>
      <w:proofErr w:type="spellStart"/>
      <w:r w:rsidRPr="00FA2F47">
        <w:rPr>
          <w:rFonts w:eastAsia="Calibri"/>
          <w:lang w:eastAsia="en-US"/>
        </w:rPr>
        <w:t>Palangkaraya</w:t>
      </w:r>
      <w:proofErr w:type="spellEnd"/>
      <w:r w:rsidRPr="00FA2F47">
        <w:rPr>
          <w:rFonts w:eastAsia="Calibri"/>
          <w:lang w:eastAsia="en-US"/>
        </w:rPr>
        <w:t xml:space="preserve"> can</w:t>
      </w:r>
      <w:r>
        <w:rPr>
          <w:rFonts w:eastAsia="Calibri"/>
          <w:lang w:eastAsia="en-US"/>
        </w:rPr>
        <w:t xml:space="preserve"> </w:t>
      </w:r>
      <w:r w:rsidRPr="00FA2F47">
        <w:rPr>
          <w:rFonts w:eastAsia="Calibri"/>
          <w:lang w:eastAsia="en-US"/>
        </w:rPr>
        <w:t xml:space="preserve">further promote its leading industry to enhance PAD by expanding the </w:t>
      </w:r>
      <w:proofErr w:type="spellStart"/>
      <w:r w:rsidRPr="00FA2F47">
        <w:rPr>
          <w:rFonts w:eastAsia="Calibri"/>
          <w:lang w:eastAsia="en-US"/>
        </w:rPr>
        <w:t>Palangkaraya</w:t>
      </w:r>
      <w:proofErr w:type="spellEnd"/>
      <w:r w:rsidRPr="00FA2F47">
        <w:rPr>
          <w:rFonts w:eastAsia="Calibri"/>
          <w:lang w:eastAsia="en-US"/>
        </w:rPr>
        <w:t xml:space="preserve"> River as a subject of ecotourism (</w:t>
      </w:r>
      <w:proofErr w:type="spellStart"/>
      <w:r w:rsidRPr="00FA2F47">
        <w:rPr>
          <w:rFonts w:eastAsia="Calibri"/>
          <w:lang w:eastAsia="en-US"/>
        </w:rPr>
        <w:t>Syamsuri</w:t>
      </w:r>
      <w:proofErr w:type="spellEnd"/>
      <w:r w:rsidRPr="00FA2F47">
        <w:rPr>
          <w:rFonts w:eastAsia="Calibri"/>
          <w:lang w:eastAsia="en-US"/>
        </w:rPr>
        <w:t xml:space="preserve"> et al., 2019). (Table </w:t>
      </w:r>
      <w:r>
        <w:rPr>
          <w:rFonts w:eastAsia="Calibri"/>
          <w:lang w:eastAsia="en-US"/>
        </w:rPr>
        <w:t>5</w:t>
      </w:r>
      <w:r w:rsidRPr="00FA2F47">
        <w:rPr>
          <w:rFonts w:eastAsia="Calibri"/>
          <w:lang w:eastAsia="en-US"/>
        </w:rPr>
        <w:t>)</w:t>
      </w:r>
    </w:p>
    <w:p w14:paraId="4AA94A25" w14:textId="77777777" w:rsidR="00FA2F47" w:rsidRDefault="00FA2F47" w:rsidP="007458BA">
      <w:pPr>
        <w:pStyle w:val="Caption"/>
        <w:spacing w:after="0"/>
        <w:rPr>
          <w:lang w:val="it-IT"/>
        </w:rPr>
      </w:pPr>
      <w:r w:rsidRPr="0010233B">
        <w:rPr>
          <w:lang w:val="it-IT"/>
        </w:rPr>
        <w:t>Table</w:t>
      </w:r>
      <w:r w:rsidRPr="009A4D5A">
        <w:rPr>
          <w:lang w:val="it-IT"/>
        </w:rPr>
        <w:t xml:space="preserve"> </w:t>
      </w:r>
      <w:r>
        <w:fldChar w:fldCharType="begin"/>
      </w:r>
      <w:r w:rsidRPr="009A4D5A">
        <w:rPr>
          <w:lang w:val="it-IT"/>
        </w:rPr>
        <w:instrText xml:space="preserve"> SEQ Table \* ARABIC </w:instrText>
      </w:r>
      <w:r>
        <w:fldChar w:fldCharType="separate"/>
      </w:r>
      <w:r>
        <w:rPr>
          <w:noProof/>
          <w:lang w:val="it-IT"/>
        </w:rPr>
        <w:t>5</w:t>
      </w:r>
      <w:r>
        <w:fldChar w:fldCharType="end"/>
      </w:r>
      <w:r w:rsidRPr="009A4D5A">
        <w:rPr>
          <w:lang w:val="it-IT"/>
        </w:rPr>
        <w:t xml:space="preserve"> </w:t>
      </w:r>
      <w:r w:rsidRPr="00D123B9">
        <w:rPr>
          <w:lang w:val="it-IT"/>
        </w:rPr>
        <w:t>Comparison of PAD between Pulang Pisau Regency and Palangkaraya City</w:t>
      </w:r>
    </w:p>
    <w:p w14:paraId="5B8E573D" w14:textId="77777777" w:rsidR="00FA2F47" w:rsidRPr="004A50C3" w:rsidRDefault="00FA2F47" w:rsidP="007458BA">
      <w:pPr>
        <w:rPr>
          <w:lang w:val="it-IT"/>
        </w:rPr>
      </w:pPr>
    </w:p>
    <w:tbl>
      <w:tblPr>
        <w:tblStyle w:val="PlainTable2"/>
        <w:tblW w:w="5000" w:type="pct"/>
        <w:tblLook w:val="04A0" w:firstRow="1" w:lastRow="0" w:firstColumn="1" w:lastColumn="0" w:noHBand="0" w:noVBand="1"/>
      </w:tblPr>
      <w:tblGrid>
        <w:gridCol w:w="1102"/>
        <w:gridCol w:w="1384"/>
        <w:gridCol w:w="1507"/>
        <w:gridCol w:w="1308"/>
        <w:gridCol w:w="1579"/>
        <w:gridCol w:w="1507"/>
        <w:gridCol w:w="1308"/>
      </w:tblGrid>
      <w:tr w:rsidR="00FA2F47" w:rsidRPr="001447D4" w14:paraId="6F0369D0" w14:textId="77777777" w:rsidTr="00FA2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 w:type="pct"/>
            <w:vMerge w:val="restart"/>
          </w:tcPr>
          <w:p w14:paraId="7EB5AB47" w14:textId="77777777" w:rsidR="00FA2F47" w:rsidRPr="009A4D5A" w:rsidRDefault="00FA2F47" w:rsidP="007458BA">
            <w:pPr>
              <w:jc w:val="center"/>
              <w:rPr>
                <w:b w:val="0"/>
                <w:bCs w:val="0"/>
                <w:sz w:val="12"/>
                <w:szCs w:val="12"/>
                <w:lang w:val="id-ID"/>
              </w:rPr>
            </w:pPr>
            <w:r w:rsidRPr="009A4D5A">
              <w:rPr>
                <w:sz w:val="12"/>
                <w:szCs w:val="12"/>
                <w:lang w:val="id-ID"/>
              </w:rPr>
              <w:t>PAD</w:t>
            </w:r>
          </w:p>
        </w:tc>
        <w:tc>
          <w:tcPr>
            <w:tcW w:w="2284" w:type="pct"/>
            <w:gridSpan w:val="3"/>
          </w:tcPr>
          <w:p w14:paraId="1A78C71E" w14:textId="77777777" w:rsidR="00FA2F47" w:rsidRPr="009A4D5A" w:rsidRDefault="00FA2F47" w:rsidP="007458BA">
            <w:pPr>
              <w:jc w:val="center"/>
              <w:cnfStyle w:val="100000000000" w:firstRow="1" w:lastRow="0" w:firstColumn="0" w:lastColumn="0" w:oddVBand="0" w:evenVBand="0" w:oddHBand="0" w:evenHBand="0" w:firstRowFirstColumn="0" w:firstRowLastColumn="0" w:lastRowFirstColumn="0" w:lastRowLastColumn="0"/>
              <w:rPr>
                <w:b w:val="0"/>
                <w:bCs w:val="0"/>
                <w:sz w:val="12"/>
                <w:szCs w:val="12"/>
                <w:lang w:val="id-ID"/>
              </w:rPr>
            </w:pPr>
            <w:r w:rsidRPr="009A4D5A">
              <w:rPr>
                <w:sz w:val="12"/>
                <w:szCs w:val="12"/>
              </w:rPr>
              <w:t xml:space="preserve">Pulang </w:t>
            </w:r>
            <w:proofErr w:type="spellStart"/>
            <w:r>
              <w:rPr>
                <w:sz w:val="12"/>
                <w:szCs w:val="12"/>
              </w:rPr>
              <w:t>Pisau</w:t>
            </w:r>
            <w:proofErr w:type="spellEnd"/>
            <w:r>
              <w:rPr>
                <w:sz w:val="12"/>
                <w:szCs w:val="12"/>
              </w:rPr>
              <w:t xml:space="preserve"> Regency</w:t>
            </w:r>
          </w:p>
        </w:tc>
        <w:tc>
          <w:tcPr>
            <w:tcW w:w="2287" w:type="pct"/>
            <w:gridSpan w:val="3"/>
          </w:tcPr>
          <w:p w14:paraId="267B9B59" w14:textId="77777777" w:rsidR="00FA2F47" w:rsidRPr="009A4D5A" w:rsidRDefault="00FA2F47" w:rsidP="007458BA">
            <w:pPr>
              <w:jc w:val="center"/>
              <w:cnfStyle w:val="100000000000" w:firstRow="1" w:lastRow="0" w:firstColumn="0" w:lastColumn="0" w:oddVBand="0" w:evenVBand="0" w:oddHBand="0" w:evenHBand="0" w:firstRowFirstColumn="0" w:firstRowLastColumn="0" w:lastRowFirstColumn="0" w:lastRowLastColumn="0"/>
              <w:rPr>
                <w:b w:val="0"/>
                <w:bCs w:val="0"/>
                <w:sz w:val="12"/>
                <w:szCs w:val="12"/>
                <w:lang w:val="id-ID"/>
              </w:rPr>
            </w:pPr>
            <w:proofErr w:type="spellStart"/>
            <w:r w:rsidRPr="009A4D5A">
              <w:rPr>
                <w:sz w:val="12"/>
                <w:szCs w:val="12"/>
              </w:rPr>
              <w:t>Palangkaraya</w:t>
            </w:r>
            <w:proofErr w:type="spellEnd"/>
            <w:r>
              <w:rPr>
                <w:sz w:val="12"/>
                <w:szCs w:val="12"/>
              </w:rPr>
              <w:t xml:space="preserve"> City</w:t>
            </w:r>
          </w:p>
        </w:tc>
      </w:tr>
      <w:tr w:rsidR="00FA2F47" w:rsidRPr="001447D4" w14:paraId="60E60DC7" w14:textId="77777777" w:rsidTr="00FA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 w:type="pct"/>
            <w:vMerge/>
          </w:tcPr>
          <w:p w14:paraId="70FF5183" w14:textId="77777777" w:rsidR="00FA2F47" w:rsidRPr="009A4D5A" w:rsidRDefault="00FA2F47" w:rsidP="007458BA">
            <w:pPr>
              <w:jc w:val="center"/>
              <w:rPr>
                <w:b w:val="0"/>
                <w:bCs w:val="0"/>
                <w:sz w:val="12"/>
                <w:szCs w:val="12"/>
                <w:lang w:val="id-ID"/>
              </w:rPr>
            </w:pPr>
          </w:p>
        </w:tc>
        <w:tc>
          <w:tcPr>
            <w:tcW w:w="848" w:type="pct"/>
          </w:tcPr>
          <w:p w14:paraId="0DE6FFA9"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b/>
                <w:bCs/>
                <w:sz w:val="12"/>
                <w:szCs w:val="12"/>
                <w:lang w:val="id-ID"/>
              </w:rPr>
            </w:pPr>
            <w:r>
              <w:rPr>
                <w:rFonts w:eastAsia="Calibri"/>
                <w:b/>
                <w:bCs/>
                <w:sz w:val="12"/>
                <w:szCs w:val="12"/>
                <w:lang w:val="id-ID"/>
              </w:rPr>
              <w:t>Value (Rp)</w:t>
            </w:r>
          </w:p>
        </w:tc>
        <w:tc>
          <w:tcPr>
            <w:tcW w:w="638" w:type="pct"/>
          </w:tcPr>
          <w:p w14:paraId="71EAAD9D"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b/>
                <w:bCs/>
                <w:sz w:val="12"/>
                <w:szCs w:val="12"/>
                <w:lang w:val="id-ID"/>
              </w:rPr>
            </w:pPr>
            <w:r>
              <w:rPr>
                <w:rFonts w:eastAsia="Calibri"/>
                <w:b/>
                <w:bCs/>
                <w:sz w:val="12"/>
                <w:szCs w:val="12"/>
                <w:lang w:val="id-ID"/>
              </w:rPr>
              <w:t>Contribution Value (%)</w:t>
            </w:r>
          </w:p>
        </w:tc>
        <w:tc>
          <w:tcPr>
            <w:tcW w:w="798" w:type="pct"/>
          </w:tcPr>
          <w:p w14:paraId="53135B37"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b/>
                <w:bCs/>
                <w:sz w:val="12"/>
                <w:szCs w:val="12"/>
                <w:lang w:val="id-ID"/>
              </w:rPr>
            </w:pPr>
            <w:r>
              <w:rPr>
                <w:rFonts w:eastAsia="Calibri"/>
                <w:b/>
                <w:bCs/>
                <w:sz w:val="12"/>
                <w:szCs w:val="12"/>
                <w:lang w:val="id-ID"/>
              </w:rPr>
              <w:t>Potential Value</w:t>
            </w:r>
          </w:p>
        </w:tc>
        <w:tc>
          <w:tcPr>
            <w:tcW w:w="695" w:type="pct"/>
          </w:tcPr>
          <w:p w14:paraId="289F3E80"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b/>
                <w:bCs/>
                <w:sz w:val="12"/>
                <w:szCs w:val="12"/>
                <w:lang w:val="id-ID"/>
              </w:rPr>
            </w:pPr>
            <w:r>
              <w:rPr>
                <w:rFonts w:eastAsia="Calibri"/>
                <w:b/>
                <w:bCs/>
                <w:sz w:val="12"/>
                <w:szCs w:val="12"/>
                <w:lang w:val="id-ID"/>
              </w:rPr>
              <w:t>Value (Rp)</w:t>
            </w:r>
          </w:p>
        </w:tc>
        <w:tc>
          <w:tcPr>
            <w:tcW w:w="663" w:type="pct"/>
          </w:tcPr>
          <w:p w14:paraId="002D6F19"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b/>
                <w:bCs/>
                <w:sz w:val="12"/>
                <w:szCs w:val="12"/>
                <w:lang w:val="id-ID"/>
              </w:rPr>
            </w:pPr>
            <w:r>
              <w:rPr>
                <w:rFonts w:eastAsia="Calibri"/>
                <w:b/>
                <w:bCs/>
                <w:sz w:val="12"/>
                <w:szCs w:val="12"/>
                <w:lang w:val="id-ID"/>
              </w:rPr>
              <w:t>Contribution Value (%)</w:t>
            </w:r>
          </w:p>
        </w:tc>
        <w:tc>
          <w:tcPr>
            <w:tcW w:w="930" w:type="pct"/>
          </w:tcPr>
          <w:p w14:paraId="6A0BC734"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b/>
                <w:bCs/>
                <w:sz w:val="12"/>
                <w:szCs w:val="12"/>
                <w:lang w:val="id-ID"/>
              </w:rPr>
            </w:pPr>
            <w:r>
              <w:rPr>
                <w:rFonts w:eastAsia="Calibri"/>
                <w:b/>
                <w:bCs/>
                <w:sz w:val="12"/>
                <w:szCs w:val="12"/>
                <w:lang w:val="id-ID"/>
              </w:rPr>
              <w:t>Potential Value</w:t>
            </w:r>
          </w:p>
        </w:tc>
      </w:tr>
      <w:tr w:rsidR="00FA2F47" w:rsidRPr="001447D4" w14:paraId="4C46AF04" w14:textId="77777777" w:rsidTr="00FA2F47">
        <w:tc>
          <w:tcPr>
            <w:cnfStyle w:val="001000000000" w:firstRow="0" w:lastRow="0" w:firstColumn="1" w:lastColumn="0" w:oddVBand="0" w:evenVBand="0" w:oddHBand="0" w:evenHBand="0" w:firstRowFirstColumn="0" w:firstRowLastColumn="0" w:lastRowFirstColumn="0" w:lastRowLastColumn="0"/>
            <w:tcW w:w="429" w:type="pct"/>
          </w:tcPr>
          <w:p w14:paraId="74AB6521" w14:textId="77777777" w:rsidR="00FA2F47" w:rsidRPr="00B6558D" w:rsidRDefault="00FA2F47" w:rsidP="007458BA">
            <w:pPr>
              <w:jc w:val="center"/>
              <w:rPr>
                <w:b w:val="0"/>
                <w:bCs w:val="0"/>
                <w:sz w:val="12"/>
                <w:szCs w:val="12"/>
                <w:lang w:val="id-ID"/>
              </w:rPr>
            </w:pPr>
            <w:r>
              <w:rPr>
                <w:sz w:val="12"/>
                <w:szCs w:val="12"/>
                <w:lang w:val="id-ID"/>
              </w:rPr>
              <w:t>A1</w:t>
            </w:r>
          </w:p>
        </w:tc>
        <w:tc>
          <w:tcPr>
            <w:tcW w:w="848" w:type="pct"/>
          </w:tcPr>
          <w:p w14:paraId="6E539B05"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7</w:t>
            </w:r>
            <w:r>
              <w:rPr>
                <w:sz w:val="12"/>
                <w:szCs w:val="12"/>
              </w:rPr>
              <w:t>.</w:t>
            </w:r>
            <w:r w:rsidRPr="009A4D5A">
              <w:rPr>
                <w:sz w:val="12"/>
                <w:szCs w:val="12"/>
              </w:rPr>
              <w:t>000</w:t>
            </w:r>
          </w:p>
        </w:tc>
        <w:tc>
          <w:tcPr>
            <w:tcW w:w="638" w:type="pct"/>
          </w:tcPr>
          <w:p w14:paraId="186F0EB9"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0.001</w:t>
            </w:r>
          </w:p>
        </w:tc>
        <w:tc>
          <w:tcPr>
            <w:tcW w:w="798" w:type="pct"/>
          </w:tcPr>
          <w:p w14:paraId="77948514" w14:textId="77777777" w:rsidR="00FA2F47"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rPr>
            </w:pPr>
            <w:r w:rsidRPr="009A4D5A">
              <w:rPr>
                <w:sz w:val="12"/>
                <w:szCs w:val="12"/>
              </w:rPr>
              <w:t>7</w:t>
            </w:r>
          </w:p>
          <w:p w14:paraId="17C2411C"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Pr>
                <w:sz w:val="12"/>
                <w:szCs w:val="12"/>
              </w:rPr>
              <w:t>(Hotels</w:t>
            </w:r>
            <w:r w:rsidRPr="009A4D5A">
              <w:rPr>
                <w:sz w:val="12"/>
                <w:szCs w:val="12"/>
              </w:rPr>
              <w:t>)</w:t>
            </w:r>
          </w:p>
        </w:tc>
        <w:tc>
          <w:tcPr>
            <w:tcW w:w="695" w:type="pct"/>
          </w:tcPr>
          <w:p w14:paraId="124897EE"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9</w:t>
            </w:r>
            <w:r>
              <w:rPr>
                <w:sz w:val="12"/>
                <w:szCs w:val="12"/>
              </w:rPr>
              <w:t>.</w:t>
            </w:r>
            <w:r w:rsidRPr="009A4D5A">
              <w:rPr>
                <w:sz w:val="12"/>
                <w:szCs w:val="12"/>
              </w:rPr>
              <w:t>050</w:t>
            </w:r>
            <w:r>
              <w:rPr>
                <w:sz w:val="12"/>
                <w:szCs w:val="12"/>
              </w:rPr>
              <w:t>.</w:t>
            </w:r>
            <w:r w:rsidRPr="009A4D5A">
              <w:rPr>
                <w:sz w:val="12"/>
                <w:szCs w:val="12"/>
              </w:rPr>
              <w:t>000</w:t>
            </w:r>
          </w:p>
        </w:tc>
        <w:tc>
          <w:tcPr>
            <w:tcW w:w="663" w:type="pct"/>
          </w:tcPr>
          <w:p w14:paraId="05F94740"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0.79</w:t>
            </w:r>
          </w:p>
        </w:tc>
        <w:tc>
          <w:tcPr>
            <w:tcW w:w="930" w:type="pct"/>
          </w:tcPr>
          <w:p w14:paraId="472F2828" w14:textId="77777777" w:rsidR="00FA2F47"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rPr>
            </w:pPr>
            <w:r w:rsidRPr="009A4D5A">
              <w:rPr>
                <w:sz w:val="12"/>
                <w:szCs w:val="12"/>
              </w:rPr>
              <w:t>131</w:t>
            </w:r>
          </w:p>
          <w:p w14:paraId="7724726D"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w:t>
            </w:r>
            <w:r>
              <w:rPr>
                <w:sz w:val="12"/>
                <w:szCs w:val="12"/>
              </w:rPr>
              <w:t>Hotels</w:t>
            </w:r>
            <w:r w:rsidRPr="009A4D5A">
              <w:rPr>
                <w:sz w:val="12"/>
                <w:szCs w:val="12"/>
              </w:rPr>
              <w:t>)</w:t>
            </w:r>
          </w:p>
        </w:tc>
      </w:tr>
      <w:tr w:rsidR="00FA2F47" w:rsidRPr="001447D4" w14:paraId="1369F690" w14:textId="77777777" w:rsidTr="00FA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 w:type="pct"/>
          </w:tcPr>
          <w:p w14:paraId="4EB50A30" w14:textId="77777777" w:rsidR="00FA2F47" w:rsidRPr="009A4D5A" w:rsidRDefault="00FA2F47" w:rsidP="007458BA">
            <w:pPr>
              <w:jc w:val="center"/>
              <w:rPr>
                <w:sz w:val="12"/>
                <w:szCs w:val="12"/>
                <w:lang w:val="id-ID"/>
              </w:rPr>
            </w:pPr>
            <w:r>
              <w:rPr>
                <w:sz w:val="12"/>
                <w:szCs w:val="12"/>
                <w:lang w:val="id-ID"/>
              </w:rPr>
              <w:t>A2</w:t>
            </w:r>
          </w:p>
        </w:tc>
        <w:tc>
          <w:tcPr>
            <w:tcW w:w="848" w:type="pct"/>
          </w:tcPr>
          <w:p w14:paraId="1254B632" w14:textId="77777777" w:rsidR="00FA2F47" w:rsidRPr="0093162D" w:rsidRDefault="00FA2F47" w:rsidP="007458B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9A4D5A">
              <w:rPr>
                <w:rFonts w:ascii="Times New Roman" w:hAnsi="Times New Roman" w:cs="Times New Roman"/>
                <w:sz w:val="12"/>
                <w:szCs w:val="12"/>
              </w:rPr>
              <w:t>895</w:t>
            </w:r>
            <w:r>
              <w:rPr>
                <w:rFonts w:ascii="Times New Roman" w:hAnsi="Times New Roman" w:cs="Times New Roman"/>
                <w:sz w:val="12"/>
                <w:szCs w:val="12"/>
              </w:rPr>
              <w:t>.</w:t>
            </w:r>
            <w:r w:rsidRPr="009A4D5A">
              <w:rPr>
                <w:rFonts w:ascii="Times New Roman" w:hAnsi="Times New Roman" w:cs="Times New Roman"/>
                <w:sz w:val="12"/>
                <w:szCs w:val="12"/>
              </w:rPr>
              <w:t>000</w:t>
            </w:r>
          </w:p>
        </w:tc>
        <w:tc>
          <w:tcPr>
            <w:tcW w:w="638" w:type="pct"/>
          </w:tcPr>
          <w:p w14:paraId="56DE5F13"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sz w:val="12"/>
                <w:szCs w:val="12"/>
                <w:lang w:val="id-ID"/>
              </w:rPr>
            </w:pPr>
            <w:r w:rsidRPr="009A4D5A">
              <w:rPr>
                <w:sz w:val="12"/>
                <w:szCs w:val="12"/>
              </w:rPr>
              <w:t>0.09</w:t>
            </w:r>
          </w:p>
        </w:tc>
        <w:tc>
          <w:tcPr>
            <w:tcW w:w="798" w:type="pct"/>
          </w:tcPr>
          <w:p w14:paraId="2BF23D9C"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sz w:val="12"/>
                <w:szCs w:val="12"/>
                <w:lang w:val="id-ID"/>
              </w:rPr>
            </w:pPr>
            <w:r w:rsidRPr="009A4D5A">
              <w:rPr>
                <w:sz w:val="12"/>
                <w:szCs w:val="12"/>
              </w:rPr>
              <w:t>31 (</w:t>
            </w:r>
            <w:r>
              <w:rPr>
                <w:sz w:val="12"/>
                <w:szCs w:val="12"/>
              </w:rPr>
              <w:t>Restaurants</w:t>
            </w:r>
            <w:r w:rsidRPr="009A4D5A">
              <w:rPr>
                <w:sz w:val="12"/>
                <w:szCs w:val="12"/>
              </w:rPr>
              <w:t>)</w:t>
            </w:r>
          </w:p>
        </w:tc>
        <w:tc>
          <w:tcPr>
            <w:tcW w:w="695" w:type="pct"/>
          </w:tcPr>
          <w:p w14:paraId="07325E1F" w14:textId="77777777" w:rsidR="00FA2F47" w:rsidRPr="0093162D" w:rsidRDefault="00FA2F47" w:rsidP="007458B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9A4D5A">
              <w:rPr>
                <w:rFonts w:ascii="Times New Roman" w:hAnsi="Times New Roman" w:cs="Times New Roman"/>
                <w:sz w:val="12"/>
                <w:szCs w:val="12"/>
              </w:rPr>
              <w:t>16</w:t>
            </w:r>
            <w:r>
              <w:rPr>
                <w:rFonts w:ascii="Times New Roman" w:hAnsi="Times New Roman" w:cs="Times New Roman"/>
                <w:sz w:val="12"/>
                <w:szCs w:val="12"/>
              </w:rPr>
              <w:t>.</w:t>
            </w:r>
            <w:r w:rsidRPr="009A4D5A">
              <w:rPr>
                <w:rFonts w:ascii="Times New Roman" w:hAnsi="Times New Roman" w:cs="Times New Roman"/>
                <w:sz w:val="12"/>
                <w:szCs w:val="12"/>
              </w:rPr>
              <w:t>536</w:t>
            </w:r>
            <w:r>
              <w:rPr>
                <w:rFonts w:ascii="Times New Roman" w:hAnsi="Times New Roman" w:cs="Times New Roman"/>
                <w:sz w:val="12"/>
                <w:szCs w:val="12"/>
              </w:rPr>
              <w:t>.</w:t>
            </w:r>
            <w:r w:rsidRPr="009A4D5A">
              <w:rPr>
                <w:rFonts w:ascii="Times New Roman" w:hAnsi="Times New Roman" w:cs="Times New Roman"/>
                <w:sz w:val="12"/>
                <w:szCs w:val="12"/>
              </w:rPr>
              <w:t>370,395</w:t>
            </w:r>
          </w:p>
        </w:tc>
        <w:tc>
          <w:tcPr>
            <w:tcW w:w="663" w:type="pct"/>
          </w:tcPr>
          <w:p w14:paraId="32517393"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sz w:val="12"/>
                <w:szCs w:val="12"/>
                <w:lang w:val="id-ID"/>
              </w:rPr>
            </w:pPr>
            <w:r w:rsidRPr="009A4D5A">
              <w:rPr>
                <w:sz w:val="12"/>
                <w:szCs w:val="12"/>
              </w:rPr>
              <w:t>1.45</w:t>
            </w:r>
          </w:p>
        </w:tc>
        <w:tc>
          <w:tcPr>
            <w:tcW w:w="930" w:type="pct"/>
          </w:tcPr>
          <w:p w14:paraId="79CB9D99"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sz w:val="12"/>
                <w:szCs w:val="12"/>
                <w:lang w:val="id-ID"/>
              </w:rPr>
            </w:pPr>
            <w:r w:rsidRPr="009A4D5A">
              <w:rPr>
                <w:sz w:val="12"/>
                <w:szCs w:val="12"/>
              </w:rPr>
              <w:t>180 (</w:t>
            </w:r>
            <w:r>
              <w:rPr>
                <w:sz w:val="12"/>
                <w:szCs w:val="12"/>
              </w:rPr>
              <w:t>Restaurants</w:t>
            </w:r>
            <w:r w:rsidRPr="009A4D5A">
              <w:rPr>
                <w:sz w:val="12"/>
                <w:szCs w:val="12"/>
              </w:rPr>
              <w:t>)</w:t>
            </w:r>
          </w:p>
        </w:tc>
      </w:tr>
      <w:tr w:rsidR="00FA2F47" w:rsidRPr="001447D4" w14:paraId="65B2DF70" w14:textId="77777777" w:rsidTr="00FA2F47">
        <w:tc>
          <w:tcPr>
            <w:cnfStyle w:val="001000000000" w:firstRow="0" w:lastRow="0" w:firstColumn="1" w:lastColumn="0" w:oddVBand="0" w:evenVBand="0" w:oddHBand="0" w:evenHBand="0" w:firstRowFirstColumn="0" w:firstRowLastColumn="0" w:lastRowFirstColumn="0" w:lastRowLastColumn="0"/>
            <w:tcW w:w="429" w:type="pct"/>
          </w:tcPr>
          <w:p w14:paraId="6324AF14" w14:textId="77777777" w:rsidR="00FA2F47" w:rsidRPr="009A4D5A" w:rsidRDefault="00FA2F47" w:rsidP="007458BA">
            <w:pPr>
              <w:jc w:val="center"/>
              <w:rPr>
                <w:sz w:val="12"/>
                <w:szCs w:val="12"/>
                <w:lang w:val="id-ID"/>
              </w:rPr>
            </w:pPr>
            <w:r>
              <w:rPr>
                <w:sz w:val="12"/>
                <w:szCs w:val="12"/>
                <w:lang w:val="id-ID"/>
              </w:rPr>
              <w:t>A3</w:t>
            </w:r>
          </w:p>
        </w:tc>
        <w:tc>
          <w:tcPr>
            <w:tcW w:w="848" w:type="pct"/>
          </w:tcPr>
          <w:p w14:paraId="115D7805"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1</w:t>
            </w:r>
            <w:r>
              <w:rPr>
                <w:sz w:val="12"/>
                <w:szCs w:val="12"/>
              </w:rPr>
              <w:t>.</w:t>
            </w:r>
            <w:r w:rsidRPr="009A4D5A">
              <w:rPr>
                <w:sz w:val="12"/>
                <w:szCs w:val="12"/>
              </w:rPr>
              <w:t>500</w:t>
            </w:r>
            <w:r>
              <w:rPr>
                <w:sz w:val="12"/>
                <w:szCs w:val="12"/>
              </w:rPr>
              <w:t>.</w:t>
            </w:r>
            <w:r w:rsidRPr="009A4D5A">
              <w:rPr>
                <w:sz w:val="12"/>
                <w:szCs w:val="12"/>
              </w:rPr>
              <w:t>000</w:t>
            </w:r>
          </w:p>
        </w:tc>
        <w:tc>
          <w:tcPr>
            <w:tcW w:w="638" w:type="pct"/>
          </w:tcPr>
          <w:p w14:paraId="49D224EB"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0.15</w:t>
            </w:r>
          </w:p>
        </w:tc>
        <w:tc>
          <w:tcPr>
            <w:tcW w:w="798" w:type="pct"/>
          </w:tcPr>
          <w:p w14:paraId="1DDF21B1"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Rp            166</w:t>
            </w:r>
            <w:r>
              <w:rPr>
                <w:sz w:val="12"/>
                <w:szCs w:val="12"/>
              </w:rPr>
              <w:t>.</w:t>
            </w:r>
            <w:r w:rsidRPr="009A4D5A">
              <w:rPr>
                <w:sz w:val="12"/>
                <w:szCs w:val="12"/>
              </w:rPr>
              <w:t>722</w:t>
            </w:r>
            <w:r>
              <w:rPr>
                <w:sz w:val="12"/>
                <w:szCs w:val="12"/>
              </w:rPr>
              <w:t>,</w:t>
            </w:r>
            <w:r w:rsidRPr="009A4D5A">
              <w:rPr>
                <w:sz w:val="12"/>
                <w:szCs w:val="12"/>
              </w:rPr>
              <w:t>24/KM2</w:t>
            </w:r>
          </w:p>
        </w:tc>
        <w:tc>
          <w:tcPr>
            <w:tcW w:w="695" w:type="pct"/>
          </w:tcPr>
          <w:p w14:paraId="141C405F"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23</w:t>
            </w:r>
            <w:r>
              <w:rPr>
                <w:sz w:val="12"/>
                <w:szCs w:val="12"/>
              </w:rPr>
              <w:t>.</w:t>
            </w:r>
            <w:r w:rsidRPr="009A4D5A">
              <w:rPr>
                <w:sz w:val="12"/>
                <w:szCs w:val="12"/>
              </w:rPr>
              <w:t>287</w:t>
            </w:r>
            <w:r>
              <w:rPr>
                <w:sz w:val="12"/>
                <w:szCs w:val="12"/>
              </w:rPr>
              <w:t>.</w:t>
            </w:r>
            <w:r w:rsidRPr="009A4D5A">
              <w:rPr>
                <w:sz w:val="12"/>
                <w:szCs w:val="12"/>
              </w:rPr>
              <w:t>617,751</w:t>
            </w:r>
          </w:p>
        </w:tc>
        <w:tc>
          <w:tcPr>
            <w:tcW w:w="663" w:type="pct"/>
          </w:tcPr>
          <w:p w14:paraId="1ADE316A"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2.04</w:t>
            </w:r>
          </w:p>
        </w:tc>
        <w:tc>
          <w:tcPr>
            <w:tcW w:w="930" w:type="pct"/>
          </w:tcPr>
          <w:p w14:paraId="591A6C20"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Rp         8</w:t>
            </w:r>
            <w:r>
              <w:rPr>
                <w:sz w:val="12"/>
                <w:szCs w:val="12"/>
              </w:rPr>
              <w:t>.</w:t>
            </w:r>
            <w:r w:rsidRPr="009A4D5A">
              <w:rPr>
                <w:sz w:val="12"/>
                <w:szCs w:val="12"/>
              </w:rPr>
              <w:t>162</w:t>
            </w:r>
            <w:r>
              <w:rPr>
                <w:sz w:val="12"/>
                <w:szCs w:val="12"/>
              </w:rPr>
              <w:t>.</w:t>
            </w:r>
            <w:r w:rsidRPr="009A4D5A">
              <w:rPr>
                <w:sz w:val="12"/>
                <w:szCs w:val="12"/>
              </w:rPr>
              <w:t>158</w:t>
            </w:r>
            <w:r>
              <w:rPr>
                <w:sz w:val="12"/>
                <w:szCs w:val="12"/>
              </w:rPr>
              <w:t>,</w:t>
            </w:r>
            <w:r w:rsidRPr="009A4D5A">
              <w:rPr>
                <w:sz w:val="12"/>
                <w:szCs w:val="12"/>
              </w:rPr>
              <w:t>53/KM2</w:t>
            </w:r>
          </w:p>
        </w:tc>
      </w:tr>
      <w:tr w:rsidR="00FA2F47" w:rsidRPr="001447D4" w14:paraId="79A025C3" w14:textId="77777777" w:rsidTr="00FA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 w:type="pct"/>
          </w:tcPr>
          <w:p w14:paraId="1A32C766" w14:textId="77777777" w:rsidR="00FA2F47" w:rsidRPr="009A4D5A" w:rsidRDefault="00FA2F47" w:rsidP="007458BA">
            <w:pPr>
              <w:jc w:val="center"/>
              <w:rPr>
                <w:sz w:val="12"/>
                <w:szCs w:val="12"/>
                <w:lang w:val="id-ID"/>
              </w:rPr>
            </w:pPr>
            <w:r>
              <w:rPr>
                <w:sz w:val="12"/>
                <w:szCs w:val="12"/>
                <w:lang w:val="id-ID"/>
              </w:rPr>
              <w:t>A4</w:t>
            </w:r>
          </w:p>
        </w:tc>
        <w:tc>
          <w:tcPr>
            <w:tcW w:w="848" w:type="pct"/>
          </w:tcPr>
          <w:p w14:paraId="29184343"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sz w:val="12"/>
                <w:szCs w:val="12"/>
                <w:lang w:val="id-ID"/>
              </w:rPr>
            </w:pPr>
            <w:r w:rsidRPr="009A4D5A">
              <w:rPr>
                <w:sz w:val="12"/>
                <w:szCs w:val="12"/>
              </w:rPr>
              <w:t>48.500</w:t>
            </w:r>
          </w:p>
        </w:tc>
        <w:tc>
          <w:tcPr>
            <w:tcW w:w="638" w:type="pct"/>
          </w:tcPr>
          <w:p w14:paraId="22D92574"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sz w:val="12"/>
                <w:szCs w:val="12"/>
                <w:lang w:val="id-ID"/>
              </w:rPr>
            </w:pPr>
            <w:r w:rsidRPr="009A4D5A">
              <w:rPr>
                <w:sz w:val="12"/>
                <w:szCs w:val="12"/>
              </w:rPr>
              <w:t>0,00</w:t>
            </w:r>
          </w:p>
        </w:tc>
        <w:tc>
          <w:tcPr>
            <w:tcW w:w="798" w:type="pct"/>
          </w:tcPr>
          <w:p w14:paraId="7F7E8AE2"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sz w:val="12"/>
                <w:szCs w:val="12"/>
                <w:lang w:val="id-ID"/>
              </w:rPr>
            </w:pPr>
            <w:r w:rsidRPr="009A4D5A">
              <w:rPr>
                <w:sz w:val="12"/>
                <w:szCs w:val="12"/>
              </w:rPr>
              <w:t xml:space="preserve"> Rp             5.390,69/KM2</w:t>
            </w:r>
          </w:p>
        </w:tc>
        <w:tc>
          <w:tcPr>
            <w:tcW w:w="695" w:type="pct"/>
          </w:tcPr>
          <w:p w14:paraId="34A305B3"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sz w:val="12"/>
                <w:szCs w:val="12"/>
                <w:lang w:val="id-ID"/>
              </w:rPr>
            </w:pPr>
            <w:r w:rsidRPr="009A4D5A">
              <w:rPr>
                <w:sz w:val="12"/>
                <w:szCs w:val="12"/>
              </w:rPr>
              <w:t xml:space="preserve">2.000.000 </w:t>
            </w:r>
          </w:p>
        </w:tc>
        <w:tc>
          <w:tcPr>
            <w:tcW w:w="663" w:type="pct"/>
          </w:tcPr>
          <w:p w14:paraId="6D1E78C5"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sz w:val="12"/>
                <w:szCs w:val="12"/>
                <w:lang w:val="id-ID"/>
              </w:rPr>
            </w:pPr>
            <w:r w:rsidRPr="009A4D5A">
              <w:rPr>
                <w:sz w:val="12"/>
                <w:szCs w:val="12"/>
              </w:rPr>
              <w:t>0,17</w:t>
            </w:r>
          </w:p>
        </w:tc>
        <w:tc>
          <w:tcPr>
            <w:tcW w:w="930" w:type="pct"/>
          </w:tcPr>
          <w:p w14:paraId="450C081D" w14:textId="77777777" w:rsidR="00FA2F47" w:rsidRPr="009A4D5A" w:rsidRDefault="00FA2F47" w:rsidP="007458BA">
            <w:pPr>
              <w:jc w:val="center"/>
              <w:cnfStyle w:val="000000100000" w:firstRow="0" w:lastRow="0" w:firstColumn="0" w:lastColumn="0" w:oddVBand="0" w:evenVBand="0" w:oddHBand="1" w:evenHBand="0" w:firstRowFirstColumn="0" w:firstRowLastColumn="0" w:lastRowFirstColumn="0" w:lastRowLastColumn="0"/>
              <w:rPr>
                <w:sz w:val="12"/>
                <w:szCs w:val="12"/>
                <w:lang w:val="id-ID"/>
              </w:rPr>
            </w:pPr>
            <w:r w:rsidRPr="009A4D5A">
              <w:rPr>
                <w:sz w:val="12"/>
                <w:szCs w:val="12"/>
              </w:rPr>
              <w:t xml:space="preserve"> Rp         700.986,99/KM2</w:t>
            </w:r>
          </w:p>
        </w:tc>
      </w:tr>
      <w:tr w:rsidR="00FA2F47" w:rsidRPr="001447D4" w14:paraId="3DFA9CA8" w14:textId="77777777" w:rsidTr="00FA2F47">
        <w:tc>
          <w:tcPr>
            <w:cnfStyle w:val="001000000000" w:firstRow="0" w:lastRow="0" w:firstColumn="1" w:lastColumn="0" w:oddVBand="0" w:evenVBand="0" w:oddHBand="0" w:evenHBand="0" w:firstRowFirstColumn="0" w:firstRowLastColumn="0" w:lastRowFirstColumn="0" w:lastRowLastColumn="0"/>
            <w:tcW w:w="429" w:type="pct"/>
          </w:tcPr>
          <w:p w14:paraId="0FD592E5" w14:textId="77777777" w:rsidR="00FA2F47" w:rsidRPr="009A4D5A" w:rsidRDefault="00FA2F47" w:rsidP="007458BA">
            <w:pPr>
              <w:jc w:val="center"/>
              <w:rPr>
                <w:sz w:val="12"/>
                <w:szCs w:val="12"/>
                <w:lang w:val="id-ID"/>
              </w:rPr>
            </w:pPr>
            <w:r>
              <w:rPr>
                <w:sz w:val="12"/>
                <w:szCs w:val="12"/>
                <w:lang w:val="id-ID"/>
              </w:rPr>
              <w:t>A5</w:t>
            </w:r>
          </w:p>
        </w:tc>
        <w:tc>
          <w:tcPr>
            <w:tcW w:w="848" w:type="pct"/>
          </w:tcPr>
          <w:p w14:paraId="0F7101C8"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 xml:space="preserve">25.000.000 </w:t>
            </w:r>
          </w:p>
        </w:tc>
        <w:tc>
          <w:tcPr>
            <w:tcW w:w="638" w:type="pct"/>
          </w:tcPr>
          <w:p w14:paraId="7D5E1E09"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2,52</w:t>
            </w:r>
          </w:p>
        </w:tc>
        <w:tc>
          <w:tcPr>
            <w:tcW w:w="798" w:type="pct"/>
          </w:tcPr>
          <w:p w14:paraId="1EB32AF2"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p>
        </w:tc>
        <w:tc>
          <w:tcPr>
            <w:tcW w:w="695" w:type="pct"/>
          </w:tcPr>
          <w:p w14:paraId="5A833A23"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16.785.124</w:t>
            </w:r>
            <w:r>
              <w:rPr>
                <w:sz w:val="12"/>
                <w:szCs w:val="12"/>
              </w:rPr>
              <w:t>,</w:t>
            </w:r>
            <w:r w:rsidRPr="009A4D5A">
              <w:rPr>
                <w:sz w:val="12"/>
                <w:szCs w:val="12"/>
              </w:rPr>
              <w:t xml:space="preserve">578 </w:t>
            </w:r>
          </w:p>
        </w:tc>
        <w:tc>
          <w:tcPr>
            <w:tcW w:w="663" w:type="pct"/>
          </w:tcPr>
          <w:p w14:paraId="775A41B4"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r w:rsidRPr="009A4D5A">
              <w:rPr>
                <w:sz w:val="12"/>
                <w:szCs w:val="12"/>
              </w:rPr>
              <w:t>1,47</w:t>
            </w:r>
          </w:p>
        </w:tc>
        <w:tc>
          <w:tcPr>
            <w:tcW w:w="930" w:type="pct"/>
          </w:tcPr>
          <w:p w14:paraId="5C97934B" w14:textId="77777777" w:rsidR="00FA2F47" w:rsidRPr="009A4D5A" w:rsidRDefault="00FA2F47" w:rsidP="007458BA">
            <w:pPr>
              <w:jc w:val="center"/>
              <w:cnfStyle w:val="000000000000" w:firstRow="0" w:lastRow="0" w:firstColumn="0" w:lastColumn="0" w:oddVBand="0" w:evenVBand="0" w:oddHBand="0" w:evenHBand="0" w:firstRowFirstColumn="0" w:firstRowLastColumn="0" w:lastRowFirstColumn="0" w:lastRowLastColumn="0"/>
              <w:rPr>
                <w:sz w:val="12"/>
                <w:szCs w:val="12"/>
                <w:lang w:val="id-ID"/>
              </w:rPr>
            </w:pPr>
          </w:p>
        </w:tc>
      </w:tr>
    </w:tbl>
    <w:p w14:paraId="56F9DD3D" w14:textId="162DC287" w:rsidR="00FA2F47" w:rsidRPr="00E64CE3" w:rsidRDefault="00FA2F47" w:rsidP="007458BA">
      <w:pPr>
        <w:rPr>
          <w:sz w:val="20"/>
          <w:szCs w:val="20"/>
        </w:rPr>
      </w:pPr>
      <w:r w:rsidRPr="0010233B">
        <w:rPr>
          <w:sz w:val="20"/>
          <w:szCs w:val="20"/>
        </w:rPr>
        <w:t>Source</w:t>
      </w:r>
      <w:r w:rsidRPr="00DA51B5">
        <w:rPr>
          <w:sz w:val="20"/>
          <w:szCs w:val="20"/>
        </w:rPr>
        <w:t xml:space="preserve">: </w:t>
      </w:r>
      <w:r w:rsidRPr="0010233B">
        <w:rPr>
          <w:sz w:val="20"/>
          <w:szCs w:val="20"/>
        </w:rPr>
        <w:t xml:space="preserve">APBD Amendment of Pulang </w:t>
      </w:r>
      <w:proofErr w:type="spellStart"/>
      <w:r w:rsidRPr="0010233B">
        <w:rPr>
          <w:sz w:val="20"/>
          <w:szCs w:val="20"/>
        </w:rPr>
        <w:t>Pisau</w:t>
      </w:r>
      <w:proofErr w:type="spellEnd"/>
      <w:r w:rsidRPr="0010233B">
        <w:rPr>
          <w:sz w:val="20"/>
          <w:szCs w:val="20"/>
        </w:rPr>
        <w:t xml:space="preserve"> Regency in 2022, APBD of </w:t>
      </w:r>
      <w:proofErr w:type="spellStart"/>
      <w:r w:rsidRPr="0010233B">
        <w:rPr>
          <w:sz w:val="20"/>
          <w:szCs w:val="20"/>
        </w:rPr>
        <w:t>Palangkaraya</w:t>
      </w:r>
      <w:proofErr w:type="spellEnd"/>
      <w:r w:rsidRPr="0010233B">
        <w:rPr>
          <w:sz w:val="20"/>
          <w:szCs w:val="20"/>
        </w:rPr>
        <w:t xml:space="preserve"> City in 2022, and BPS of Central Kalimantan Province</w:t>
      </w:r>
      <w:r w:rsidRPr="00DA51B5">
        <w:rPr>
          <w:sz w:val="20"/>
          <w:szCs w:val="20"/>
        </w:rPr>
        <w:t xml:space="preserve">   </w:t>
      </w:r>
    </w:p>
    <w:p w14:paraId="4B040DAC" w14:textId="4A8EB7FD" w:rsidR="00FA2F47" w:rsidRDefault="00FA2F47" w:rsidP="007458BA">
      <w:pPr>
        <w:ind w:firstLine="720"/>
        <w:rPr>
          <w:rFonts w:eastAsia="Calibri"/>
          <w:lang w:eastAsia="en-US"/>
        </w:rPr>
      </w:pPr>
      <w:r w:rsidRPr="00FA2F47">
        <w:rPr>
          <w:rFonts w:eastAsia="Calibri"/>
          <w:lang w:eastAsia="en-US"/>
        </w:rPr>
        <w:t xml:space="preserve">Drawing from the provided details, it is evident that </w:t>
      </w:r>
      <w:proofErr w:type="spellStart"/>
      <w:r w:rsidRPr="00FA2F47">
        <w:rPr>
          <w:rFonts w:eastAsia="Calibri"/>
          <w:lang w:eastAsia="en-US"/>
        </w:rPr>
        <w:t>Minahasa</w:t>
      </w:r>
      <w:proofErr w:type="spellEnd"/>
      <w:r w:rsidRPr="00FA2F47">
        <w:rPr>
          <w:rFonts w:eastAsia="Calibri"/>
          <w:lang w:eastAsia="en-US"/>
        </w:rPr>
        <w:t xml:space="preserve"> Regency and Manado City exhibit significant potential disparities arising from differences in natural resource endowments, regional attributes, primary economic sectors, and geographical proximity. These divergences foster a symbiotic relationship between commodities and services within North Sulawesi Province (</w:t>
      </w:r>
      <w:proofErr w:type="spellStart"/>
      <w:r w:rsidRPr="00FA2F47">
        <w:rPr>
          <w:rFonts w:eastAsia="Calibri"/>
          <w:lang w:eastAsia="en-US"/>
        </w:rPr>
        <w:t>Nurfadilah</w:t>
      </w:r>
      <w:proofErr w:type="spellEnd"/>
      <w:r w:rsidRPr="00FA2F47">
        <w:rPr>
          <w:rFonts w:eastAsia="Calibri"/>
          <w:lang w:eastAsia="en-US"/>
        </w:rPr>
        <w:t xml:space="preserve"> et al., 2022). (Table </w:t>
      </w:r>
      <w:r>
        <w:rPr>
          <w:rFonts w:eastAsia="Calibri"/>
          <w:lang w:eastAsia="en-US"/>
        </w:rPr>
        <w:t>6</w:t>
      </w:r>
      <w:r w:rsidRPr="00FA2F47">
        <w:rPr>
          <w:rFonts w:eastAsia="Calibri"/>
          <w:lang w:eastAsia="en-US"/>
        </w:rPr>
        <w:t xml:space="preserve">) </w:t>
      </w:r>
    </w:p>
    <w:p w14:paraId="35DDE61A" w14:textId="77777777" w:rsidR="00E64CE3" w:rsidRDefault="00E64CE3" w:rsidP="007458BA">
      <w:pPr>
        <w:pStyle w:val="Caption"/>
        <w:spacing w:after="0"/>
        <w:jc w:val="both"/>
        <w:rPr>
          <w:lang w:val="it-IT"/>
        </w:rPr>
      </w:pPr>
      <w:r w:rsidRPr="00D123B9">
        <w:rPr>
          <w:lang w:val="it-IT"/>
        </w:rPr>
        <w:t>Table</w:t>
      </w:r>
      <w:r w:rsidRPr="001A77AE">
        <w:rPr>
          <w:color w:val="FF0000"/>
          <w:lang w:val="it-IT"/>
        </w:rPr>
        <w:t xml:space="preserve"> </w:t>
      </w:r>
      <w:r>
        <w:fldChar w:fldCharType="begin"/>
      </w:r>
      <w:r w:rsidRPr="00DA51B5">
        <w:rPr>
          <w:lang w:val="it-IT"/>
        </w:rPr>
        <w:instrText xml:space="preserve"> SEQ Table \* ARABIC </w:instrText>
      </w:r>
      <w:r>
        <w:fldChar w:fldCharType="separate"/>
      </w:r>
      <w:r>
        <w:rPr>
          <w:noProof/>
          <w:lang w:val="it-IT"/>
        </w:rPr>
        <w:t>6</w:t>
      </w:r>
      <w:r>
        <w:fldChar w:fldCharType="end"/>
      </w:r>
      <w:r>
        <w:t xml:space="preserve"> </w:t>
      </w:r>
      <w:r w:rsidRPr="0022728B">
        <w:rPr>
          <w:lang w:val="it-IT"/>
        </w:rPr>
        <w:t>Comparison of PAD between Minahasa Regency and Manado City</w:t>
      </w:r>
    </w:p>
    <w:p w14:paraId="1CD130BD" w14:textId="77777777" w:rsidR="00E64CE3" w:rsidRPr="004A50C3" w:rsidRDefault="00E64CE3" w:rsidP="007458BA">
      <w:pPr>
        <w:rPr>
          <w:lang w:val="it-IT"/>
        </w:rPr>
      </w:pPr>
    </w:p>
    <w:tbl>
      <w:tblPr>
        <w:tblStyle w:val="PlainTable2"/>
        <w:tblW w:w="5000" w:type="pct"/>
        <w:tblLayout w:type="fixed"/>
        <w:tblLook w:val="04A0" w:firstRow="1" w:lastRow="0" w:firstColumn="1" w:lastColumn="0" w:noHBand="0" w:noVBand="1"/>
      </w:tblPr>
      <w:tblGrid>
        <w:gridCol w:w="817"/>
        <w:gridCol w:w="1351"/>
        <w:gridCol w:w="1117"/>
        <w:gridCol w:w="1741"/>
        <w:gridCol w:w="1510"/>
        <w:gridCol w:w="1249"/>
        <w:gridCol w:w="1910"/>
      </w:tblGrid>
      <w:tr w:rsidR="00E64CE3" w:rsidRPr="00DA51B5" w14:paraId="258C3EC9" w14:textId="77777777" w:rsidTr="00E64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pct"/>
            <w:vMerge w:val="restart"/>
          </w:tcPr>
          <w:p w14:paraId="20478C77" w14:textId="77777777" w:rsidR="00E64CE3" w:rsidRPr="00DA51B5" w:rsidRDefault="00E64CE3" w:rsidP="007458BA">
            <w:pPr>
              <w:jc w:val="center"/>
              <w:rPr>
                <w:rFonts w:eastAsia="Calibri"/>
                <w:sz w:val="12"/>
                <w:szCs w:val="12"/>
                <w:lang w:val="id-ID"/>
              </w:rPr>
            </w:pPr>
            <w:r w:rsidRPr="00DA51B5">
              <w:rPr>
                <w:rFonts w:eastAsia="Calibri"/>
                <w:sz w:val="12"/>
                <w:szCs w:val="12"/>
                <w:lang w:val="id-ID"/>
              </w:rPr>
              <w:t>PAD</w:t>
            </w:r>
          </w:p>
        </w:tc>
        <w:tc>
          <w:tcPr>
            <w:tcW w:w="2171" w:type="pct"/>
            <w:gridSpan w:val="3"/>
          </w:tcPr>
          <w:p w14:paraId="73E487D8" w14:textId="77777777" w:rsidR="00E64CE3" w:rsidRPr="00DA51B5" w:rsidRDefault="00E64CE3" w:rsidP="007458BA">
            <w:pPr>
              <w:jc w:val="center"/>
              <w:cnfStyle w:val="100000000000" w:firstRow="1" w:lastRow="0" w:firstColumn="0" w:lastColumn="0" w:oddVBand="0" w:evenVBand="0" w:oddHBand="0" w:evenHBand="0" w:firstRowFirstColumn="0" w:firstRowLastColumn="0" w:lastRowFirstColumn="0" w:lastRowLastColumn="0"/>
              <w:rPr>
                <w:rFonts w:eastAsia="Calibri"/>
                <w:sz w:val="12"/>
                <w:szCs w:val="12"/>
                <w:lang w:val="id-ID"/>
              </w:rPr>
            </w:pPr>
            <w:proofErr w:type="spellStart"/>
            <w:r w:rsidRPr="00DA51B5">
              <w:rPr>
                <w:rFonts w:eastAsia="Calibri"/>
                <w:sz w:val="12"/>
                <w:szCs w:val="12"/>
                <w:lang w:val="en-GB"/>
              </w:rPr>
              <w:t>Minahasa</w:t>
            </w:r>
            <w:proofErr w:type="spellEnd"/>
            <w:r>
              <w:rPr>
                <w:rFonts w:eastAsia="Calibri"/>
                <w:sz w:val="12"/>
                <w:szCs w:val="12"/>
                <w:lang w:val="en-GB"/>
              </w:rPr>
              <w:t xml:space="preserve"> Regency</w:t>
            </w:r>
          </w:p>
        </w:tc>
        <w:tc>
          <w:tcPr>
            <w:tcW w:w="2408" w:type="pct"/>
            <w:gridSpan w:val="3"/>
          </w:tcPr>
          <w:p w14:paraId="213C68C6" w14:textId="77777777" w:rsidR="00E64CE3" w:rsidRPr="00DA51B5" w:rsidRDefault="00E64CE3" w:rsidP="007458BA">
            <w:pPr>
              <w:jc w:val="center"/>
              <w:cnfStyle w:val="100000000000" w:firstRow="1"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Manado</w:t>
            </w:r>
            <w:r>
              <w:rPr>
                <w:rFonts w:eastAsia="Calibri"/>
                <w:sz w:val="12"/>
                <w:szCs w:val="12"/>
                <w:lang w:val="en-GB"/>
              </w:rPr>
              <w:t xml:space="preserve"> City</w:t>
            </w:r>
          </w:p>
        </w:tc>
      </w:tr>
      <w:tr w:rsidR="00E64CE3" w:rsidRPr="00DA51B5" w14:paraId="4C216DB2" w14:textId="77777777" w:rsidTr="00E64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pct"/>
            <w:vMerge/>
          </w:tcPr>
          <w:p w14:paraId="10516A1B" w14:textId="77777777" w:rsidR="00E64CE3" w:rsidRPr="00DA51B5" w:rsidRDefault="00E64CE3" w:rsidP="007458BA">
            <w:pPr>
              <w:jc w:val="center"/>
              <w:rPr>
                <w:rFonts w:eastAsia="Calibri"/>
                <w:sz w:val="12"/>
                <w:szCs w:val="12"/>
                <w:lang w:val="id-ID"/>
              </w:rPr>
            </w:pPr>
          </w:p>
        </w:tc>
        <w:tc>
          <w:tcPr>
            <w:tcW w:w="697" w:type="pct"/>
          </w:tcPr>
          <w:p w14:paraId="1E60536B"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Value (Rp)</w:t>
            </w:r>
          </w:p>
        </w:tc>
        <w:tc>
          <w:tcPr>
            <w:tcW w:w="576" w:type="pct"/>
          </w:tcPr>
          <w:p w14:paraId="706CFFE4"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Contribution Value (%)</w:t>
            </w:r>
          </w:p>
        </w:tc>
        <w:tc>
          <w:tcPr>
            <w:tcW w:w="898" w:type="pct"/>
          </w:tcPr>
          <w:p w14:paraId="20A1CDBC"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Potential Value</w:t>
            </w:r>
          </w:p>
        </w:tc>
        <w:tc>
          <w:tcPr>
            <w:tcW w:w="779" w:type="pct"/>
          </w:tcPr>
          <w:p w14:paraId="7A5E5B2B"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Value (Rp)</w:t>
            </w:r>
          </w:p>
        </w:tc>
        <w:tc>
          <w:tcPr>
            <w:tcW w:w="644" w:type="pct"/>
          </w:tcPr>
          <w:p w14:paraId="10DC7177"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Contribution Value (%)</w:t>
            </w:r>
          </w:p>
        </w:tc>
        <w:tc>
          <w:tcPr>
            <w:tcW w:w="985" w:type="pct"/>
          </w:tcPr>
          <w:p w14:paraId="73F9AAFC"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Potential Value</w:t>
            </w:r>
          </w:p>
        </w:tc>
      </w:tr>
      <w:tr w:rsidR="00E64CE3" w:rsidRPr="00DA51B5" w14:paraId="32AD6491" w14:textId="77777777" w:rsidTr="00E64CE3">
        <w:tc>
          <w:tcPr>
            <w:cnfStyle w:val="001000000000" w:firstRow="0" w:lastRow="0" w:firstColumn="1" w:lastColumn="0" w:oddVBand="0" w:evenVBand="0" w:oddHBand="0" w:evenHBand="0" w:firstRowFirstColumn="0" w:firstRowLastColumn="0" w:lastRowFirstColumn="0" w:lastRowLastColumn="0"/>
            <w:tcW w:w="421" w:type="pct"/>
          </w:tcPr>
          <w:p w14:paraId="397A3216" w14:textId="77777777" w:rsidR="00E64CE3" w:rsidRPr="00DA51B5" w:rsidRDefault="00E64CE3" w:rsidP="007458BA">
            <w:pPr>
              <w:jc w:val="center"/>
              <w:rPr>
                <w:rFonts w:eastAsia="Calibri"/>
                <w:sz w:val="12"/>
                <w:szCs w:val="12"/>
                <w:lang w:val="id-ID"/>
              </w:rPr>
            </w:pPr>
            <w:r>
              <w:rPr>
                <w:rFonts w:eastAsia="Calibri"/>
                <w:sz w:val="12"/>
                <w:szCs w:val="12"/>
                <w:lang w:val="id-ID"/>
              </w:rPr>
              <w:t>A1</w:t>
            </w:r>
          </w:p>
        </w:tc>
        <w:tc>
          <w:tcPr>
            <w:tcW w:w="697" w:type="pct"/>
          </w:tcPr>
          <w:p w14:paraId="1FE04977"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4</w:t>
            </w:r>
            <w:r>
              <w:rPr>
                <w:rFonts w:eastAsia="Calibri"/>
                <w:sz w:val="12"/>
                <w:szCs w:val="12"/>
                <w:lang w:val="en-GB"/>
              </w:rPr>
              <w:t>.</w:t>
            </w:r>
            <w:r w:rsidRPr="00DA51B5">
              <w:rPr>
                <w:rFonts w:eastAsia="Calibri"/>
                <w:sz w:val="12"/>
                <w:szCs w:val="12"/>
                <w:lang w:val="en-GB"/>
              </w:rPr>
              <w:t>685</w:t>
            </w:r>
            <w:r>
              <w:rPr>
                <w:rFonts w:eastAsia="Calibri"/>
                <w:sz w:val="12"/>
                <w:szCs w:val="12"/>
                <w:lang w:val="en-GB"/>
              </w:rPr>
              <w:t>.</w:t>
            </w:r>
            <w:r w:rsidRPr="00DA51B5">
              <w:rPr>
                <w:rFonts w:eastAsia="Calibri"/>
                <w:sz w:val="12"/>
                <w:szCs w:val="12"/>
                <w:lang w:val="en-GB"/>
              </w:rPr>
              <w:t>500</w:t>
            </w:r>
          </w:p>
        </w:tc>
        <w:tc>
          <w:tcPr>
            <w:tcW w:w="576" w:type="pct"/>
          </w:tcPr>
          <w:p w14:paraId="7A6F1B0A"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0.38</w:t>
            </w:r>
          </w:p>
        </w:tc>
        <w:tc>
          <w:tcPr>
            <w:tcW w:w="898" w:type="pct"/>
          </w:tcPr>
          <w:p w14:paraId="136D5369" w14:textId="77777777" w:rsidR="00E64CE3"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en-GB"/>
              </w:rPr>
            </w:pPr>
            <w:r w:rsidRPr="00DA51B5">
              <w:rPr>
                <w:rFonts w:eastAsia="Calibri"/>
                <w:sz w:val="12"/>
                <w:szCs w:val="12"/>
                <w:lang w:val="en-GB"/>
              </w:rPr>
              <w:t>11</w:t>
            </w:r>
          </w:p>
          <w:p w14:paraId="64259186"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w:t>
            </w:r>
            <w:r>
              <w:rPr>
                <w:rFonts w:eastAsia="Calibri"/>
                <w:sz w:val="12"/>
                <w:szCs w:val="12"/>
                <w:lang w:val="en-GB"/>
              </w:rPr>
              <w:t>Hotels</w:t>
            </w:r>
            <w:r w:rsidRPr="00DA51B5">
              <w:rPr>
                <w:rFonts w:eastAsia="Calibri"/>
                <w:sz w:val="12"/>
                <w:szCs w:val="12"/>
                <w:lang w:val="en-GB"/>
              </w:rPr>
              <w:t>)</w:t>
            </w:r>
          </w:p>
        </w:tc>
        <w:tc>
          <w:tcPr>
            <w:tcW w:w="779" w:type="pct"/>
          </w:tcPr>
          <w:p w14:paraId="104CAC3B"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41</w:t>
            </w:r>
            <w:r>
              <w:rPr>
                <w:rFonts w:eastAsia="Calibri"/>
                <w:sz w:val="12"/>
                <w:szCs w:val="12"/>
                <w:lang w:val="en-GB"/>
              </w:rPr>
              <w:t>.</w:t>
            </w:r>
            <w:r w:rsidRPr="00DA51B5">
              <w:rPr>
                <w:rFonts w:eastAsia="Calibri"/>
                <w:sz w:val="12"/>
                <w:szCs w:val="12"/>
                <w:lang w:val="en-GB"/>
              </w:rPr>
              <w:t>000</w:t>
            </w:r>
            <w:r>
              <w:rPr>
                <w:rFonts w:eastAsia="Calibri"/>
                <w:sz w:val="12"/>
                <w:szCs w:val="12"/>
                <w:lang w:val="en-GB"/>
              </w:rPr>
              <w:t>.</w:t>
            </w:r>
            <w:r w:rsidRPr="00DA51B5">
              <w:rPr>
                <w:rFonts w:eastAsia="Calibri"/>
                <w:sz w:val="12"/>
                <w:szCs w:val="12"/>
                <w:lang w:val="en-GB"/>
              </w:rPr>
              <w:t xml:space="preserve">000 </w:t>
            </w:r>
          </w:p>
        </w:tc>
        <w:tc>
          <w:tcPr>
            <w:tcW w:w="644" w:type="pct"/>
          </w:tcPr>
          <w:p w14:paraId="68781225"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2.50</w:t>
            </w:r>
          </w:p>
        </w:tc>
        <w:tc>
          <w:tcPr>
            <w:tcW w:w="985" w:type="pct"/>
          </w:tcPr>
          <w:p w14:paraId="615D16EA" w14:textId="77777777" w:rsidR="00E64CE3"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en-GB"/>
              </w:rPr>
            </w:pPr>
            <w:r w:rsidRPr="00DA51B5">
              <w:rPr>
                <w:rFonts w:eastAsia="Calibri"/>
                <w:sz w:val="12"/>
                <w:szCs w:val="12"/>
                <w:lang w:val="en-GB"/>
              </w:rPr>
              <w:t>120</w:t>
            </w:r>
          </w:p>
          <w:p w14:paraId="4B450A6A"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w:t>
            </w:r>
            <w:r>
              <w:rPr>
                <w:rFonts w:eastAsia="Calibri"/>
                <w:sz w:val="12"/>
                <w:szCs w:val="12"/>
                <w:lang w:val="en-GB"/>
              </w:rPr>
              <w:t>Hotels</w:t>
            </w:r>
            <w:r w:rsidRPr="00DA51B5">
              <w:rPr>
                <w:rFonts w:eastAsia="Calibri"/>
                <w:sz w:val="12"/>
                <w:szCs w:val="12"/>
                <w:lang w:val="en-GB"/>
              </w:rPr>
              <w:t>)</w:t>
            </w:r>
          </w:p>
        </w:tc>
      </w:tr>
      <w:tr w:rsidR="00E64CE3" w:rsidRPr="00DA51B5" w14:paraId="0759A2A5" w14:textId="77777777" w:rsidTr="00E64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pct"/>
          </w:tcPr>
          <w:p w14:paraId="40F7E345" w14:textId="77777777" w:rsidR="00E64CE3" w:rsidRPr="00DA51B5" w:rsidRDefault="00E64CE3" w:rsidP="007458BA">
            <w:pPr>
              <w:jc w:val="center"/>
              <w:rPr>
                <w:rFonts w:eastAsia="Calibri"/>
                <w:sz w:val="12"/>
                <w:szCs w:val="12"/>
                <w:lang w:val="id-ID"/>
              </w:rPr>
            </w:pPr>
            <w:r>
              <w:rPr>
                <w:rFonts w:eastAsia="Calibri"/>
                <w:sz w:val="12"/>
                <w:szCs w:val="12"/>
                <w:lang w:val="id-ID"/>
              </w:rPr>
              <w:t>A2</w:t>
            </w:r>
          </w:p>
        </w:tc>
        <w:tc>
          <w:tcPr>
            <w:tcW w:w="697" w:type="pct"/>
          </w:tcPr>
          <w:p w14:paraId="00D6AAAF"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DA51B5">
              <w:rPr>
                <w:rFonts w:eastAsia="Calibri"/>
                <w:sz w:val="12"/>
                <w:szCs w:val="12"/>
                <w:lang w:val="en-GB"/>
              </w:rPr>
              <w:t>3</w:t>
            </w:r>
            <w:r>
              <w:rPr>
                <w:rFonts w:eastAsia="Calibri"/>
                <w:sz w:val="12"/>
                <w:szCs w:val="12"/>
                <w:lang w:val="en-GB"/>
              </w:rPr>
              <w:t>.</w:t>
            </w:r>
            <w:r w:rsidRPr="00DA51B5">
              <w:rPr>
                <w:rFonts w:eastAsia="Calibri"/>
                <w:sz w:val="12"/>
                <w:szCs w:val="12"/>
                <w:lang w:val="en-GB"/>
              </w:rPr>
              <w:t>392</w:t>
            </w:r>
            <w:r>
              <w:rPr>
                <w:rFonts w:eastAsia="Calibri"/>
                <w:sz w:val="12"/>
                <w:szCs w:val="12"/>
                <w:lang w:val="en-GB"/>
              </w:rPr>
              <w:t>.</w:t>
            </w:r>
            <w:r w:rsidRPr="00DA51B5">
              <w:rPr>
                <w:rFonts w:eastAsia="Calibri"/>
                <w:sz w:val="12"/>
                <w:szCs w:val="12"/>
                <w:lang w:val="en-GB"/>
              </w:rPr>
              <w:t>500</w:t>
            </w:r>
          </w:p>
        </w:tc>
        <w:tc>
          <w:tcPr>
            <w:tcW w:w="576" w:type="pct"/>
          </w:tcPr>
          <w:p w14:paraId="465E9C2B"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DA51B5">
              <w:rPr>
                <w:rFonts w:eastAsia="Calibri"/>
                <w:sz w:val="12"/>
                <w:szCs w:val="12"/>
                <w:lang w:val="en-GB"/>
              </w:rPr>
              <w:t>0.27</w:t>
            </w:r>
          </w:p>
        </w:tc>
        <w:tc>
          <w:tcPr>
            <w:tcW w:w="898" w:type="pct"/>
          </w:tcPr>
          <w:p w14:paraId="3699F7FD"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DA51B5">
              <w:rPr>
                <w:rFonts w:eastAsia="Calibri"/>
                <w:sz w:val="12"/>
                <w:szCs w:val="12"/>
                <w:lang w:val="en-GB"/>
              </w:rPr>
              <w:t>92 (</w:t>
            </w:r>
            <w:r>
              <w:rPr>
                <w:rFonts w:eastAsia="Calibri"/>
                <w:sz w:val="12"/>
                <w:szCs w:val="12"/>
                <w:lang w:val="en-GB"/>
              </w:rPr>
              <w:t>Restaurants</w:t>
            </w:r>
            <w:r w:rsidRPr="00DA51B5">
              <w:rPr>
                <w:rFonts w:eastAsia="Calibri"/>
                <w:sz w:val="12"/>
                <w:szCs w:val="12"/>
                <w:lang w:val="en-GB"/>
              </w:rPr>
              <w:t>)</w:t>
            </w:r>
          </w:p>
        </w:tc>
        <w:tc>
          <w:tcPr>
            <w:tcW w:w="779" w:type="pct"/>
          </w:tcPr>
          <w:p w14:paraId="4BCB6619"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DA51B5">
              <w:rPr>
                <w:rFonts w:eastAsia="Calibri"/>
                <w:sz w:val="12"/>
                <w:szCs w:val="12"/>
                <w:lang w:val="en-GB"/>
              </w:rPr>
              <w:t>95</w:t>
            </w:r>
            <w:r>
              <w:rPr>
                <w:rFonts w:eastAsia="Calibri"/>
                <w:sz w:val="12"/>
                <w:szCs w:val="12"/>
                <w:lang w:val="en-GB"/>
              </w:rPr>
              <w:t>.</w:t>
            </w:r>
            <w:r w:rsidRPr="00DA51B5">
              <w:rPr>
                <w:rFonts w:eastAsia="Calibri"/>
                <w:sz w:val="12"/>
                <w:szCs w:val="12"/>
                <w:lang w:val="en-GB"/>
              </w:rPr>
              <w:t>000</w:t>
            </w:r>
            <w:r>
              <w:rPr>
                <w:rFonts w:eastAsia="Calibri"/>
                <w:sz w:val="12"/>
                <w:szCs w:val="12"/>
                <w:lang w:val="en-GB"/>
              </w:rPr>
              <w:t>.</w:t>
            </w:r>
            <w:r w:rsidRPr="00DA51B5">
              <w:rPr>
                <w:rFonts w:eastAsia="Calibri"/>
                <w:sz w:val="12"/>
                <w:szCs w:val="12"/>
                <w:lang w:val="en-GB"/>
              </w:rPr>
              <w:t>00</w:t>
            </w:r>
            <w:r>
              <w:rPr>
                <w:rFonts w:eastAsia="Calibri"/>
                <w:sz w:val="12"/>
                <w:szCs w:val="12"/>
                <w:lang w:val="en-GB"/>
              </w:rPr>
              <w:t>0</w:t>
            </w:r>
          </w:p>
        </w:tc>
        <w:tc>
          <w:tcPr>
            <w:tcW w:w="644" w:type="pct"/>
          </w:tcPr>
          <w:p w14:paraId="5518A7F8"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DA51B5">
              <w:rPr>
                <w:rFonts w:eastAsia="Calibri"/>
                <w:sz w:val="12"/>
                <w:szCs w:val="12"/>
                <w:lang w:val="en-GB"/>
              </w:rPr>
              <w:t>5.80</w:t>
            </w:r>
          </w:p>
        </w:tc>
        <w:tc>
          <w:tcPr>
            <w:tcW w:w="985" w:type="pct"/>
          </w:tcPr>
          <w:p w14:paraId="2DF0BB99"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DA51B5">
              <w:rPr>
                <w:rFonts w:eastAsia="Calibri"/>
                <w:sz w:val="12"/>
                <w:szCs w:val="12"/>
                <w:lang w:val="en-GB"/>
              </w:rPr>
              <w:t>478 (</w:t>
            </w:r>
            <w:r>
              <w:rPr>
                <w:rFonts w:eastAsia="Calibri"/>
                <w:sz w:val="12"/>
                <w:szCs w:val="12"/>
                <w:lang w:val="en-GB"/>
              </w:rPr>
              <w:t>Restaurants</w:t>
            </w:r>
            <w:r w:rsidRPr="00DA51B5">
              <w:rPr>
                <w:rFonts w:eastAsia="Calibri"/>
                <w:sz w:val="12"/>
                <w:szCs w:val="12"/>
                <w:lang w:val="en-GB"/>
              </w:rPr>
              <w:t>)</w:t>
            </w:r>
          </w:p>
        </w:tc>
      </w:tr>
      <w:tr w:rsidR="00E64CE3" w:rsidRPr="00DA51B5" w14:paraId="1F20A3B9" w14:textId="77777777" w:rsidTr="00E64CE3">
        <w:tc>
          <w:tcPr>
            <w:cnfStyle w:val="001000000000" w:firstRow="0" w:lastRow="0" w:firstColumn="1" w:lastColumn="0" w:oddVBand="0" w:evenVBand="0" w:oddHBand="0" w:evenHBand="0" w:firstRowFirstColumn="0" w:firstRowLastColumn="0" w:lastRowFirstColumn="0" w:lastRowLastColumn="0"/>
            <w:tcW w:w="421" w:type="pct"/>
          </w:tcPr>
          <w:p w14:paraId="14C1410D" w14:textId="77777777" w:rsidR="00E64CE3" w:rsidRPr="00DA51B5" w:rsidRDefault="00E64CE3" w:rsidP="007458BA">
            <w:pPr>
              <w:jc w:val="center"/>
              <w:rPr>
                <w:rFonts w:eastAsia="Calibri"/>
                <w:sz w:val="12"/>
                <w:szCs w:val="12"/>
                <w:lang w:val="id-ID"/>
              </w:rPr>
            </w:pPr>
            <w:r>
              <w:rPr>
                <w:rFonts w:eastAsia="Calibri"/>
                <w:sz w:val="12"/>
                <w:szCs w:val="12"/>
                <w:lang w:val="id-ID"/>
              </w:rPr>
              <w:t>A3</w:t>
            </w:r>
          </w:p>
        </w:tc>
        <w:tc>
          <w:tcPr>
            <w:tcW w:w="697" w:type="pct"/>
          </w:tcPr>
          <w:p w14:paraId="54E95089"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5</w:t>
            </w:r>
            <w:r>
              <w:rPr>
                <w:rFonts w:eastAsia="Calibri"/>
                <w:sz w:val="12"/>
                <w:szCs w:val="12"/>
                <w:lang w:val="en-GB"/>
              </w:rPr>
              <w:t>.</w:t>
            </w:r>
            <w:r w:rsidRPr="00DA51B5">
              <w:rPr>
                <w:rFonts w:eastAsia="Calibri"/>
                <w:sz w:val="12"/>
                <w:szCs w:val="12"/>
                <w:lang w:val="en-GB"/>
              </w:rPr>
              <w:t>300</w:t>
            </w:r>
            <w:r>
              <w:rPr>
                <w:rFonts w:eastAsia="Calibri"/>
                <w:sz w:val="12"/>
                <w:szCs w:val="12"/>
                <w:lang w:val="en-GB"/>
              </w:rPr>
              <w:t>.</w:t>
            </w:r>
            <w:r w:rsidRPr="00DA51B5">
              <w:rPr>
                <w:rFonts w:eastAsia="Calibri"/>
                <w:sz w:val="12"/>
                <w:szCs w:val="12"/>
                <w:lang w:val="en-GB"/>
              </w:rPr>
              <w:t>000</w:t>
            </w:r>
          </w:p>
        </w:tc>
        <w:tc>
          <w:tcPr>
            <w:tcW w:w="576" w:type="pct"/>
          </w:tcPr>
          <w:p w14:paraId="15C3762F"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0.42</w:t>
            </w:r>
          </w:p>
        </w:tc>
        <w:tc>
          <w:tcPr>
            <w:tcW w:w="898" w:type="pct"/>
          </w:tcPr>
          <w:p w14:paraId="06999775"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Rp         4</w:t>
            </w:r>
            <w:r>
              <w:rPr>
                <w:rFonts w:eastAsia="Calibri"/>
                <w:sz w:val="12"/>
                <w:szCs w:val="12"/>
                <w:lang w:val="en-GB"/>
              </w:rPr>
              <w:t>.</w:t>
            </w:r>
            <w:r w:rsidRPr="00DA51B5">
              <w:rPr>
                <w:rFonts w:eastAsia="Calibri"/>
                <w:sz w:val="12"/>
                <w:szCs w:val="12"/>
                <w:lang w:val="en-GB"/>
              </w:rPr>
              <w:t>642</w:t>
            </w:r>
            <w:r>
              <w:rPr>
                <w:rFonts w:eastAsia="Calibri"/>
                <w:sz w:val="12"/>
                <w:szCs w:val="12"/>
                <w:lang w:val="en-GB"/>
              </w:rPr>
              <w:t>.</w:t>
            </w:r>
            <w:r w:rsidRPr="00DA51B5">
              <w:rPr>
                <w:rFonts w:eastAsia="Calibri"/>
                <w:sz w:val="12"/>
                <w:szCs w:val="12"/>
                <w:lang w:val="en-GB"/>
              </w:rPr>
              <w:t>444</w:t>
            </w:r>
            <w:r>
              <w:rPr>
                <w:rFonts w:eastAsia="Calibri"/>
                <w:sz w:val="12"/>
                <w:szCs w:val="12"/>
                <w:lang w:val="en-GB"/>
              </w:rPr>
              <w:t>,</w:t>
            </w:r>
            <w:r w:rsidRPr="00DA51B5">
              <w:rPr>
                <w:rFonts w:eastAsia="Calibri"/>
                <w:sz w:val="12"/>
                <w:szCs w:val="12"/>
                <w:lang w:val="en-GB"/>
              </w:rPr>
              <w:t>20/KM2</w:t>
            </w:r>
          </w:p>
        </w:tc>
        <w:tc>
          <w:tcPr>
            <w:tcW w:w="779" w:type="pct"/>
          </w:tcPr>
          <w:p w14:paraId="4D5427B0"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56</w:t>
            </w:r>
            <w:r>
              <w:rPr>
                <w:rFonts w:eastAsia="Calibri"/>
                <w:sz w:val="12"/>
                <w:szCs w:val="12"/>
                <w:lang w:val="en-GB"/>
              </w:rPr>
              <w:t>.</w:t>
            </w:r>
            <w:r w:rsidRPr="00DA51B5">
              <w:rPr>
                <w:rFonts w:eastAsia="Calibri"/>
                <w:sz w:val="12"/>
                <w:szCs w:val="12"/>
                <w:lang w:val="en-GB"/>
              </w:rPr>
              <w:t>990</w:t>
            </w:r>
            <w:r>
              <w:rPr>
                <w:rFonts w:eastAsia="Calibri"/>
                <w:sz w:val="12"/>
                <w:szCs w:val="12"/>
                <w:lang w:val="en-GB"/>
              </w:rPr>
              <w:t>.</w:t>
            </w:r>
            <w:r w:rsidRPr="00DA51B5">
              <w:rPr>
                <w:rFonts w:eastAsia="Calibri"/>
                <w:sz w:val="12"/>
                <w:szCs w:val="12"/>
                <w:lang w:val="en-GB"/>
              </w:rPr>
              <w:t>000</w:t>
            </w:r>
          </w:p>
        </w:tc>
        <w:tc>
          <w:tcPr>
            <w:tcW w:w="644" w:type="pct"/>
          </w:tcPr>
          <w:p w14:paraId="30837004"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3.48</w:t>
            </w:r>
          </w:p>
        </w:tc>
        <w:tc>
          <w:tcPr>
            <w:tcW w:w="985" w:type="pct"/>
          </w:tcPr>
          <w:p w14:paraId="3D6D2491"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Rp    362</w:t>
            </w:r>
            <w:r>
              <w:rPr>
                <w:rFonts w:eastAsia="Calibri"/>
                <w:sz w:val="12"/>
                <w:szCs w:val="12"/>
                <w:lang w:val="en-GB"/>
              </w:rPr>
              <w:t>.</w:t>
            </w:r>
            <w:r w:rsidRPr="00DA51B5">
              <w:rPr>
                <w:rFonts w:eastAsia="Calibri"/>
                <w:sz w:val="12"/>
                <w:szCs w:val="12"/>
                <w:lang w:val="en-GB"/>
              </w:rPr>
              <w:t>393</w:t>
            </w:r>
            <w:r>
              <w:rPr>
                <w:rFonts w:eastAsia="Calibri"/>
                <w:sz w:val="12"/>
                <w:szCs w:val="12"/>
                <w:lang w:val="en-GB"/>
              </w:rPr>
              <w:t>.</w:t>
            </w:r>
            <w:r w:rsidRPr="00DA51B5">
              <w:rPr>
                <w:rFonts w:eastAsia="Calibri"/>
                <w:sz w:val="12"/>
                <w:szCs w:val="12"/>
                <w:lang w:val="en-GB"/>
              </w:rPr>
              <w:t>488</w:t>
            </w:r>
            <w:r>
              <w:rPr>
                <w:rFonts w:eastAsia="Calibri"/>
                <w:sz w:val="12"/>
                <w:szCs w:val="12"/>
                <w:lang w:val="en-GB"/>
              </w:rPr>
              <w:t>,</w:t>
            </w:r>
            <w:r w:rsidRPr="00DA51B5">
              <w:rPr>
                <w:rFonts w:eastAsia="Calibri"/>
                <w:sz w:val="12"/>
                <w:szCs w:val="12"/>
                <w:lang w:val="en-GB"/>
              </w:rPr>
              <w:t>49/KM2</w:t>
            </w:r>
          </w:p>
        </w:tc>
      </w:tr>
      <w:tr w:rsidR="00E64CE3" w:rsidRPr="00DA51B5" w14:paraId="0A6EAC62" w14:textId="77777777" w:rsidTr="00E64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pct"/>
          </w:tcPr>
          <w:p w14:paraId="4235A9E7" w14:textId="77777777" w:rsidR="00E64CE3" w:rsidRPr="00DA51B5" w:rsidRDefault="00E64CE3" w:rsidP="007458BA">
            <w:pPr>
              <w:jc w:val="center"/>
              <w:rPr>
                <w:rFonts w:eastAsia="Calibri"/>
                <w:sz w:val="12"/>
                <w:szCs w:val="12"/>
                <w:lang w:val="id-ID"/>
              </w:rPr>
            </w:pPr>
            <w:r>
              <w:rPr>
                <w:rFonts w:eastAsia="Calibri"/>
                <w:sz w:val="12"/>
                <w:szCs w:val="12"/>
                <w:lang w:val="id-ID"/>
              </w:rPr>
              <w:t>A4</w:t>
            </w:r>
          </w:p>
        </w:tc>
        <w:tc>
          <w:tcPr>
            <w:tcW w:w="697" w:type="pct"/>
          </w:tcPr>
          <w:p w14:paraId="1FC3D784"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DA51B5">
              <w:rPr>
                <w:rFonts w:eastAsia="Calibri"/>
                <w:sz w:val="12"/>
                <w:szCs w:val="12"/>
                <w:lang w:val="en-GB"/>
              </w:rPr>
              <w:t xml:space="preserve">1.000.100 </w:t>
            </w:r>
          </w:p>
        </w:tc>
        <w:tc>
          <w:tcPr>
            <w:tcW w:w="576" w:type="pct"/>
          </w:tcPr>
          <w:p w14:paraId="372F9934"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DA51B5">
              <w:rPr>
                <w:rFonts w:eastAsia="Calibri"/>
                <w:sz w:val="12"/>
                <w:szCs w:val="12"/>
                <w:lang w:val="en-GB"/>
              </w:rPr>
              <w:t>0,08</w:t>
            </w:r>
          </w:p>
        </w:tc>
        <w:tc>
          <w:tcPr>
            <w:tcW w:w="898" w:type="pct"/>
          </w:tcPr>
          <w:p w14:paraId="381526D9"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DA51B5">
              <w:rPr>
                <w:rFonts w:eastAsia="Calibri"/>
                <w:sz w:val="12"/>
                <w:szCs w:val="12"/>
                <w:lang w:val="en-GB"/>
              </w:rPr>
              <w:t xml:space="preserve"> Rp         876.020,46 /KM2</w:t>
            </w:r>
          </w:p>
        </w:tc>
        <w:tc>
          <w:tcPr>
            <w:tcW w:w="779" w:type="pct"/>
          </w:tcPr>
          <w:p w14:paraId="1E802D33"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DA51B5">
              <w:rPr>
                <w:rFonts w:eastAsia="Calibri"/>
                <w:sz w:val="12"/>
                <w:szCs w:val="12"/>
                <w:lang w:val="en-GB"/>
              </w:rPr>
              <w:t>16.650.000</w:t>
            </w:r>
          </w:p>
        </w:tc>
        <w:tc>
          <w:tcPr>
            <w:tcW w:w="644" w:type="pct"/>
          </w:tcPr>
          <w:p w14:paraId="3652B340"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DA51B5">
              <w:rPr>
                <w:rFonts w:eastAsia="Calibri"/>
                <w:sz w:val="12"/>
                <w:szCs w:val="12"/>
                <w:lang w:val="en-GB"/>
              </w:rPr>
              <w:t>1,02</w:t>
            </w:r>
          </w:p>
        </w:tc>
        <w:tc>
          <w:tcPr>
            <w:tcW w:w="985" w:type="pct"/>
          </w:tcPr>
          <w:p w14:paraId="1DB38128" w14:textId="77777777" w:rsidR="00E64CE3" w:rsidRPr="00DA51B5"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DA51B5">
              <w:rPr>
                <w:rFonts w:eastAsia="Calibri"/>
                <w:sz w:val="12"/>
                <w:szCs w:val="12"/>
                <w:lang w:val="en-GB"/>
              </w:rPr>
              <w:t xml:space="preserve"> Rp 105.875.619,99/KM2</w:t>
            </w:r>
          </w:p>
        </w:tc>
      </w:tr>
      <w:tr w:rsidR="00E64CE3" w:rsidRPr="00DA51B5" w14:paraId="0D7A95A3" w14:textId="77777777" w:rsidTr="00E64CE3">
        <w:tc>
          <w:tcPr>
            <w:cnfStyle w:val="001000000000" w:firstRow="0" w:lastRow="0" w:firstColumn="1" w:lastColumn="0" w:oddVBand="0" w:evenVBand="0" w:oddHBand="0" w:evenHBand="0" w:firstRowFirstColumn="0" w:firstRowLastColumn="0" w:lastRowFirstColumn="0" w:lastRowLastColumn="0"/>
            <w:tcW w:w="421" w:type="pct"/>
          </w:tcPr>
          <w:p w14:paraId="52D7DEB4" w14:textId="77777777" w:rsidR="00E64CE3" w:rsidRPr="00DA51B5" w:rsidRDefault="00E64CE3" w:rsidP="007458BA">
            <w:pPr>
              <w:jc w:val="center"/>
              <w:rPr>
                <w:rFonts w:eastAsia="Calibri"/>
                <w:sz w:val="12"/>
                <w:szCs w:val="12"/>
                <w:lang w:val="id-ID"/>
              </w:rPr>
            </w:pPr>
            <w:r>
              <w:rPr>
                <w:rFonts w:eastAsia="Calibri"/>
                <w:sz w:val="12"/>
                <w:szCs w:val="12"/>
                <w:lang w:val="id-ID"/>
              </w:rPr>
              <w:t>A5</w:t>
            </w:r>
          </w:p>
        </w:tc>
        <w:tc>
          <w:tcPr>
            <w:tcW w:w="697" w:type="pct"/>
          </w:tcPr>
          <w:p w14:paraId="3E877496"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 xml:space="preserve">30.000.000 </w:t>
            </w:r>
          </w:p>
        </w:tc>
        <w:tc>
          <w:tcPr>
            <w:tcW w:w="576" w:type="pct"/>
          </w:tcPr>
          <w:p w14:paraId="6D90661F"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2,40</w:t>
            </w:r>
          </w:p>
        </w:tc>
        <w:tc>
          <w:tcPr>
            <w:tcW w:w="898" w:type="pct"/>
          </w:tcPr>
          <w:p w14:paraId="57AAA5FA"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p>
        </w:tc>
        <w:tc>
          <w:tcPr>
            <w:tcW w:w="779" w:type="pct"/>
          </w:tcPr>
          <w:p w14:paraId="48AE4541"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16.785.124</w:t>
            </w:r>
            <w:r>
              <w:rPr>
                <w:rFonts w:eastAsia="Calibri"/>
                <w:sz w:val="12"/>
                <w:szCs w:val="12"/>
                <w:lang w:val="en-GB"/>
              </w:rPr>
              <w:t>,</w:t>
            </w:r>
            <w:r w:rsidRPr="00DA51B5">
              <w:rPr>
                <w:rFonts w:eastAsia="Calibri"/>
                <w:sz w:val="12"/>
                <w:szCs w:val="12"/>
                <w:lang w:val="en-GB"/>
              </w:rPr>
              <w:t xml:space="preserve">578 </w:t>
            </w:r>
          </w:p>
        </w:tc>
        <w:tc>
          <w:tcPr>
            <w:tcW w:w="644" w:type="pct"/>
          </w:tcPr>
          <w:p w14:paraId="60A3BBDB"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DA51B5">
              <w:rPr>
                <w:rFonts w:eastAsia="Calibri"/>
                <w:sz w:val="12"/>
                <w:szCs w:val="12"/>
                <w:lang w:val="en-GB"/>
              </w:rPr>
              <w:t>1,47</w:t>
            </w:r>
          </w:p>
        </w:tc>
        <w:tc>
          <w:tcPr>
            <w:tcW w:w="985" w:type="pct"/>
          </w:tcPr>
          <w:p w14:paraId="046ABA52" w14:textId="77777777" w:rsidR="00E64CE3" w:rsidRPr="00DA51B5"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p>
        </w:tc>
      </w:tr>
    </w:tbl>
    <w:p w14:paraId="44F99535" w14:textId="786357D7" w:rsidR="00E64CE3" w:rsidRPr="00E64CE3" w:rsidRDefault="00E64CE3" w:rsidP="007458BA">
      <w:pPr>
        <w:rPr>
          <w:sz w:val="20"/>
          <w:szCs w:val="20"/>
        </w:rPr>
      </w:pPr>
      <w:r w:rsidRPr="0022728B">
        <w:rPr>
          <w:sz w:val="20"/>
          <w:szCs w:val="20"/>
        </w:rPr>
        <w:t>Source</w:t>
      </w:r>
      <w:r w:rsidRPr="00FD602A">
        <w:rPr>
          <w:sz w:val="20"/>
          <w:szCs w:val="20"/>
        </w:rPr>
        <w:t xml:space="preserve">: </w:t>
      </w:r>
      <w:r w:rsidRPr="00080EC2">
        <w:rPr>
          <w:sz w:val="20"/>
          <w:szCs w:val="20"/>
        </w:rPr>
        <w:t xml:space="preserve">APBD of </w:t>
      </w:r>
      <w:proofErr w:type="spellStart"/>
      <w:r w:rsidRPr="00080EC2">
        <w:rPr>
          <w:sz w:val="20"/>
          <w:szCs w:val="20"/>
        </w:rPr>
        <w:t>Minahasa</w:t>
      </w:r>
      <w:proofErr w:type="spellEnd"/>
      <w:r w:rsidRPr="00080EC2">
        <w:rPr>
          <w:sz w:val="20"/>
          <w:szCs w:val="20"/>
        </w:rPr>
        <w:t xml:space="preserve"> Regency in 2022 and APBD of Manado City in 2022</w:t>
      </w:r>
      <w:r w:rsidRPr="00FD602A">
        <w:rPr>
          <w:sz w:val="20"/>
          <w:szCs w:val="20"/>
        </w:rPr>
        <w:t xml:space="preserve"> </w:t>
      </w:r>
    </w:p>
    <w:p w14:paraId="58C75A6C" w14:textId="28EA9933" w:rsidR="00FA2F47" w:rsidRDefault="00FA2F47" w:rsidP="007458BA">
      <w:pPr>
        <w:ind w:firstLine="720"/>
        <w:rPr>
          <w:rFonts w:eastAsia="Calibri"/>
          <w:lang w:eastAsia="en-US"/>
        </w:rPr>
      </w:pPr>
      <w:r w:rsidRPr="00FA2F47">
        <w:rPr>
          <w:rFonts w:eastAsia="Calibri"/>
          <w:lang w:eastAsia="en-US"/>
        </w:rPr>
        <w:t>An underlying factor contributing to the inequality observed in the data is the variance in potential. For instance, in the South Lampung area, the potential is predominantly derived from agriculture, forestry, and fisheries (</w:t>
      </w:r>
      <w:proofErr w:type="spellStart"/>
      <w:r w:rsidRPr="00FA2F47">
        <w:rPr>
          <w:rFonts w:eastAsia="Calibri"/>
          <w:lang w:eastAsia="en-US"/>
        </w:rPr>
        <w:t>Juliannisa</w:t>
      </w:r>
      <w:proofErr w:type="spellEnd"/>
      <w:r w:rsidRPr="00FA2F47">
        <w:rPr>
          <w:rFonts w:eastAsia="Calibri"/>
          <w:lang w:eastAsia="en-US"/>
        </w:rPr>
        <w:t xml:space="preserve"> et al., 2022). Revenue from these sectors is under the central government authority. Meanwhile, Bandar Lampung City’s potential lies in the manufacturing industry, the electricity, gas, and clean water, the building, the trade, hotels and restaurants, the transportation/communication, the bank and other financial institutions, and the service sectors (</w:t>
      </w:r>
      <w:proofErr w:type="spellStart"/>
      <w:r w:rsidRPr="00FA2F47">
        <w:rPr>
          <w:rFonts w:eastAsia="Calibri"/>
          <w:lang w:eastAsia="en-US"/>
        </w:rPr>
        <w:t>Mahroji</w:t>
      </w:r>
      <w:proofErr w:type="spellEnd"/>
      <w:r w:rsidRPr="00FA2F47">
        <w:rPr>
          <w:rFonts w:eastAsia="Calibri"/>
          <w:lang w:eastAsia="en-US"/>
        </w:rPr>
        <w:t xml:space="preserve"> &amp; </w:t>
      </w:r>
      <w:proofErr w:type="spellStart"/>
      <w:r w:rsidRPr="00FA2F47">
        <w:rPr>
          <w:rFonts w:eastAsia="Calibri"/>
          <w:lang w:eastAsia="en-US"/>
        </w:rPr>
        <w:t>Indrawati</w:t>
      </w:r>
      <w:proofErr w:type="spellEnd"/>
      <w:r w:rsidRPr="00FA2F47">
        <w:rPr>
          <w:rFonts w:eastAsia="Calibri"/>
          <w:lang w:eastAsia="en-US"/>
        </w:rPr>
        <w:t>, 2020), in which revenue from these industries are the authority of the regencies/municipalities.</w:t>
      </w:r>
    </w:p>
    <w:p w14:paraId="612B305E" w14:textId="77777777" w:rsidR="00E64CE3" w:rsidRDefault="00E64CE3" w:rsidP="007458BA">
      <w:pPr>
        <w:pStyle w:val="Caption"/>
        <w:spacing w:after="0"/>
        <w:rPr>
          <w:lang w:val="it-IT"/>
        </w:rPr>
      </w:pPr>
      <w:r w:rsidRPr="0022728B">
        <w:rPr>
          <w:lang w:val="it-IT"/>
        </w:rPr>
        <w:t>Table</w:t>
      </w:r>
      <w:r w:rsidRPr="00DA51B5">
        <w:rPr>
          <w:lang w:val="it-IT"/>
        </w:rPr>
        <w:t xml:space="preserve"> </w:t>
      </w:r>
      <w:r>
        <w:fldChar w:fldCharType="begin"/>
      </w:r>
      <w:r w:rsidRPr="00DA51B5">
        <w:rPr>
          <w:lang w:val="it-IT"/>
        </w:rPr>
        <w:instrText xml:space="preserve"> SEQ Table \* ARABIC </w:instrText>
      </w:r>
      <w:r>
        <w:fldChar w:fldCharType="separate"/>
      </w:r>
      <w:r>
        <w:rPr>
          <w:noProof/>
          <w:lang w:val="it-IT"/>
        </w:rPr>
        <w:t>7</w:t>
      </w:r>
      <w:r>
        <w:fldChar w:fldCharType="end"/>
      </w:r>
      <w:r w:rsidRPr="00DA51B5">
        <w:rPr>
          <w:lang w:val="it-IT"/>
        </w:rPr>
        <w:t xml:space="preserve"> </w:t>
      </w:r>
      <w:r>
        <w:rPr>
          <w:lang w:val="it-IT"/>
        </w:rPr>
        <w:t xml:space="preserve">Comparison of PAD between South Lampung Regency and Bandar Lampung City </w:t>
      </w:r>
    </w:p>
    <w:tbl>
      <w:tblPr>
        <w:tblStyle w:val="PlainTable2"/>
        <w:tblW w:w="0" w:type="auto"/>
        <w:tblLook w:val="04A0" w:firstRow="1" w:lastRow="0" w:firstColumn="1" w:lastColumn="0" w:noHBand="0" w:noVBand="1"/>
      </w:tblPr>
      <w:tblGrid>
        <w:gridCol w:w="1099"/>
        <w:gridCol w:w="1463"/>
        <w:gridCol w:w="1503"/>
        <w:gridCol w:w="1304"/>
        <w:gridCol w:w="1519"/>
        <w:gridCol w:w="1503"/>
        <w:gridCol w:w="1304"/>
      </w:tblGrid>
      <w:tr w:rsidR="00E64CE3" w:rsidRPr="00FD602A" w14:paraId="0669B6B8" w14:textId="77777777" w:rsidTr="00E64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0EB72DE" w14:textId="14FA5120" w:rsidR="00E64CE3" w:rsidRPr="00FD602A" w:rsidRDefault="007458BA" w:rsidP="007458BA">
            <w:pPr>
              <w:jc w:val="center"/>
              <w:rPr>
                <w:rFonts w:eastAsia="Calibri"/>
                <w:sz w:val="12"/>
                <w:szCs w:val="12"/>
                <w:lang w:val="id-ID"/>
              </w:rPr>
            </w:pPr>
            <w:r>
              <w:rPr>
                <w:noProof/>
              </w:rPr>
              <w:lastRenderedPageBreak/>
              <w:drawing>
                <wp:anchor distT="0" distB="0" distL="114300" distR="114300" simplePos="0" relativeHeight="251676672" behindDoc="1" locked="0" layoutInCell="1" allowOverlap="0" wp14:anchorId="620707D3" wp14:editId="42C40344">
                  <wp:simplePos x="0" y="0"/>
                  <wp:positionH relativeFrom="column">
                    <wp:posOffset>0</wp:posOffset>
                  </wp:positionH>
                  <wp:positionV relativeFrom="paragraph">
                    <wp:posOffset>8255</wp:posOffset>
                  </wp:positionV>
                  <wp:extent cx="6129020" cy="6129020"/>
                  <wp:effectExtent l="0" t="0" r="0" b="0"/>
                  <wp:wrapNone/>
                  <wp:docPr id="1717731278" name="Picture 1717731278"/>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00E64CE3" w:rsidRPr="00FD602A">
              <w:rPr>
                <w:rFonts w:eastAsia="Calibri"/>
                <w:sz w:val="12"/>
                <w:szCs w:val="12"/>
                <w:lang w:val="id-ID"/>
              </w:rPr>
              <w:t>PAD</w:t>
            </w:r>
          </w:p>
        </w:tc>
        <w:tc>
          <w:tcPr>
            <w:tcW w:w="0" w:type="auto"/>
            <w:gridSpan w:val="3"/>
          </w:tcPr>
          <w:p w14:paraId="73A29DFD" w14:textId="77777777" w:rsidR="00E64CE3" w:rsidRPr="00FD602A" w:rsidRDefault="00E64CE3" w:rsidP="007458BA">
            <w:pPr>
              <w:jc w:val="center"/>
              <w:cnfStyle w:val="100000000000" w:firstRow="1" w:lastRow="0" w:firstColumn="0" w:lastColumn="0" w:oddVBand="0" w:evenVBand="0" w:oddHBand="0" w:evenHBand="0" w:firstRowFirstColumn="0" w:firstRowLastColumn="0" w:lastRowFirstColumn="0" w:lastRowLastColumn="0"/>
              <w:rPr>
                <w:rFonts w:eastAsia="Calibri"/>
                <w:sz w:val="12"/>
                <w:szCs w:val="12"/>
                <w:lang w:val="id-ID"/>
              </w:rPr>
            </w:pPr>
            <w:r>
              <w:rPr>
                <w:rFonts w:eastAsia="Calibri"/>
                <w:sz w:val="12"/>
                <w:szCs w:val="12"/>
                <w:lang w:val="en-GB"/>
              </w:rPr>
              <w:t xml:space="preserve">South </w:t>
            </w:r>
            <w:r w:rsidRPr="00FD602A">
              <w:rPr>
                <w:rFonts w:eastAsia="Calibri"/>
                <w:sz w:val="12"/>
                <w:szCs w:val="12"/>
                <w:lang w:val="en-GB"/>
              </w:rPr>
              <w:t xml:space="preserve">Lampung </w:t>
            </w:r>
            <w:r>
              <w:rPr>
                <w:rFonts w:eastAsia="Calibri"/>
                <w:sz w:val="12"/>
                <w:szCs w:val="12"/>
                <w:lang w:val="en-GB"/>
              </w:rPr>
              <w:t>Regency</w:t>
            </w:r>
          </w:p>
        </w:tc>
        <w:tc>
          <w:tcPr>
            <w:tcW w:w="0" w:type="auto"/>
            <w:gridSpan w:val="3"/>
          </w:tcPr>
          <w:p w14:paraId="4093EFF7" w14:textId="77777777" w:rsidR="00E64CE3" w:rsidRPr="00FD602A" w:rsidRDefault="00E64CE3" w:rsidP="007458BA">
            <w:pPr>
              <w:jc w:val="center"/>
              <w:cnfStyle w:val="100000000000" w:firstRow="1"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Bandar Lampung</w:t>
            </w:r>
            <w:r>
              <w:rPr>
                <w:rFonts w:eastAsia="Calibri"/>
                <w:sz w:val="12"/>
                <w:szCs w:val="12"/>
                <w:lang w:val="en-GB"/>
              </w:rPr>
              <w:t xml:space="preserve"> City</w:t>
            </w:r>
          </w:p>
        </w:tc>
      </w:tr>
      <w:tr w:rsidR="00E64CE3" w:rsidRPr="00FD602A" w14:paraId="054DEBE0" w14:textId="77777777" w:rsidTr="00E64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093581C" w14:textId="77777777" w:rsidR="00E64CE3" w:rsidRPr="00FD602A" w:rsidRDefault="00E64CE3" w:rsidP="007458BA">
            <w:pPr>
              <w:jc w:val="center"/>
              <w:rPr>
                <w:rFonts w:eastAsia="Calibri"/>
                <w:sz w:val="12"/>
                <w:szCs w:val="12"/>
                <w:lang w:val="id-ID"/>
              </w:rPr>
            </w:pPr>
          </w:p>
        </w:tc>
        <w:tc>
          <w:tcPr>
            <w:tcW w:w="0" w:type="auto"/>
          </w:tcPr>
          <w:p w14:paraId="4FA7E48A"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Value (Rp)</w:t>
            </w:r>
          </w:p>
        </w:tc>
        <w:tc>
          <w:tcPr>
            <w:tcW w:w="0" w:type="auto"/>
          </w:tcPr>
          <w:p w14:paraId="76F76F13"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Contribution Value (%)</w:t>
            </w:r>
          </w:p>
        </w:tc>
        <w:tc>
          <w:tcPr>
            <w:tcW w:w="0" w:type="auto"/>
          </w:tcPr>
          <w:p w14:paraId="0D6D3027"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Potential Value</w:t>
            </w:r>
          </w:p>
        </w:tc>
        <w:tc>
          <w:tcPr>
            <w:tcW w:w="0" w:type="auto"/>
          </w:tcPr>
          <w:p w14:paraId="30DD1293"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Value (Rp)</w:t>
            </w:r>
          </w:p>
        </w:tc>
        <w:tc>
          <w:tcPr>
            <w:tcW w:w="0" w:type="auto"/>
          </w:tcPr>
          <w:p w14:paraId="2C1E530B"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Contribution Value (%)</w:t>
            </w:r>
          </w:p>
        </w:tc>
        <w:tc>
          <w:tcPr>
            <w:tcW w:w="0" w:type="auto"/>
          </w:tcPr>
          <w:p w14:paraId="226484F8"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b/>
                <w:bCs/>
                <w:sz w:val="12"/>
                <w:szCs w:val="12"/>
                <w:lang w:val="id-ID"/>
              </w:rPr>
            </w:pPr>
            <w:r>
              <w:rPr>
                <w:rFonts w:eastAsia="Calibri"/>
                <w:b/>
                <w:bCs/>
                <w:sz w:val="12"/>
                <w:szCs w:val="12"/>
                <w:lang w:val="id-ID"/>
              </w:rPr>
              <w:t>Potential Value</w:t>
            </w:r>
          </w:p>
        </w:tc>
      </w:tr>
      <w:tr w:rsidR="00E64CE3" w:rsidRPr="00FD602A" w14:paraId="5DEFD448" w14:textId="77777777" w:rsidTr="00E64CE3">
        <w:tc>
          <w:tcPr>
            <w:cnfStyle w:val="001000000000" w:firstRow="0" w:lastRow="0" w:firstColumn="1" w:lastColumn="0" w:oddVBand="0" w:evenVBand="0" w:oddHBand="0" w:evenHBand="0" w:firstRowFirstColumn="0" w:firstRowLastColumn="0" w:lastRowFirstColumn="0" w:lastRowLastColumn="0"/>
            <w:tcW w:w="0" w:type="auto"/>
          </w:tcPr>
          <w:p w14:paraId="195E9252" w14:textId="77777777" w:rsidR="00E64CE3" w:rsidRPr="00167866" w:rsidRDefault="00E64CE3" w:rsidP="007458BA">
            <w:pPr>
              <w:jc w:val="center"/>
              <w:rPr>
                <w:rFonts w:eastAsia="Calibri"/>
                <w:b w:val="0"/>
                <w:bCs w:val="0"/>
                <w:sz w:val="12"/>
                <w:szCs w:val="12"/>
                <w:lang w:val="id-ID"/>
              </w:rPr>
            </w:pPr>
            <w:r>
              <w:rPr>
                <w:rFonts w:eastAsia="Calibri"/>
                <w:sz w:val="12"/>
                <w:szCs w:val="12"/>
                <w:lang w:val="id-ID"/>
              </w:rPr>
              <w:t>A1</w:t>
            </w:r>
          </w:p>
        </w:tc>
        <w:tc>
          <w:tcPr>
            <w:tcW w:w="0" w:type="auto"/>
          </w:tcPr>
          <w:p w14:paraId="5C201221"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991</w:t>
            </w:r>
            <w:r>
              <w:rPr>
                <w:rFonts w:eastAsia="Calibri"/>
                <w:sz w:val="12"/>
                <w:szCs w:val="12"/>
                <w:lang w:val="en-GB"/>
              </w:rPr>
              <w:t>.</w:t>
            </w:r>
            <w:r w:rsidRPr="00FD602A">
              <w:rPr>
                <w:rFonts w:eastAsia="Calibri"/>
                <w:sz w:val="12"/>
                <w:szCs w:val="12"/>
                <w:lang w:val="en-GB"/>
              </w:rPr>
              <w:t>732,40</w:t>
            </w:r>
            <w:r>
              <w:rPr>
                <w:rFonts w:eastAsia="Calibri"/>
                <w:sz w:val="12"/>
                <w:szCs w:val="12"/>
                <w:lang w:val="en-GB"/>
              </w:rPr>
              <w:t>0</w:t>
            </w:r>
          </w:p>
        </w:tc>
        <w:tc>
          <w:tcPr>
            <w:tcW w:w="0" w:type="auto"/>
          </w:tcPr>
          <w:p w14:paraId="55645A9F"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0.04</w:t>
            </w:r>
          </w:p>
        </w:tc>
        <w:tc>
          <w:tcPr>
            <w:tcW w:w="0" w:type="auto"/>
          </w:tcPr>
          <w:p w14:paraId="05F56F6A"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26 (</w:t>
            </w:r>
            <w:r>
              <w:rPr>
                <w:rFonts w:eastAsia="Calibri"/>
                <w:sz w:val="12"/>
                <w:szCs w:val="12"/>
                <w:lang w:val="en-GB"/>
              </w:rPr>
              <w:t>Hotels</w:t>
            </w:r>
            <w:r w:rsidRPr="00FD602A">
              <w:rPr>
                <w:rFonts w:eastAsia="Calibri"/>
                <w:sz w:val="12"/>
                <w:szCs w:val="12"/>
                <w:lang w:val="en-GB"/>
              </w:rPr>
              <w:t>)</w:t>
            </w:r>
          </w:p>
        </w:tc>
        <w:tc>
          <w:tcPr>
            <w:tcW w:w="0" w:type="auto"/>
          </w:tcPr>
          <w:p w14:paraId="33BFED55"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32</w:t>
            </w:r>
            <w:r>
              <w:rPr>
                <w:rFonts w:eastAsia="Calibri"/>
                <w:sz w:val="12"/>
                <w:szCs w:val="12"/>
                <w:lang w:val="en-GB"/>
              </w:rPr>
              <w:t>.</w:t>
            </w:r>
            <w:r w:rsidRPr="00FD602A">
              <w:rPr>
                <w:rFonts w:eastAsia="Calibri"/>
                <w:sz w:val="12"/>
                <w:szCs w:val="12"/>
                <w:lang w:val="en-GB"/>
              </w:rPr>
              <w:t>000</w:t>
            </w:r>
            <w:r>
              <w:rPr>
                <w:rFonts w:eastAsia="Calibri"/>
                <w:sz w:val="12"/>
                <w:szCs w:val="12"/>
                <w:lang w:val="en-GB"/>
              </w:rPr>
              <w:t>.</w:t>
            </w:r>
            <w:r w:rsidRPr="00FD602A">
              <w:rPr>
                <w:rFonts w:eastAsia="Calibri"/>
                <w:sz w:val="12"/>
                <w:szCs w:val="12"/>
                <w:lang w:val="en-GB"/>
              </w:rPr>
              <w:t xml:space="preserve">000 </w:t>
            </w:r>
          </w:p>
        </w:tc>
        <w:tc>
          <w:tcPr>
            <w:tcW w:w="0" w:type="auto"/>
          </w:tcPr>
          <w:p w14:paraId="650095B7"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1.37</w:t>
            </w:r>
          </w:p>
        </w:tc>
        <w:tc>
          <w:tcPr>
            <w:tcW w:w="0" w:type="auto"/>
          </w:tcPr>
          <w:p w14:paraId="627C8464"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158 (</w:t>
            </w:r>
            <w:r>
              <w:rPr>
                <w:rFonts w:eastAsia="Calibri"/>
                <w:sz w:val="12"/>
                <w:szCs w:val="12"/>
                <w:lang w:val="en-GB"/>
              </w:rPr>
              <w:t>Hotels</w:t>
            </w:r>
            <w:r w:rsidRPr="00FD602A">
              <w:rPr>
                <w:rFonts w:eastAsia="Calibri"/>
                <w:sz w:val="12"/>
                <w:szCs w:val="12"/>
                <w:lang w:val="en-GB"/>
              </w:rPr>
              <w:t>)</w:t>
            </w:r>
          </w:p>
        </w:tc>
      </w:tr>
      <w:tr w:rsidR="00E64CE3" w:rsidRPr="00FD602A" w14:paraId="3201176A" w14:textId="77777777" w:rsidTr="00E64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AFB3D5" w14:textId="77777777" w:rsidR="00E64CE3" w:rsidRPr="00167866" w:rsidRDefault="00E64CE3" w:rsidP="007458BA">
            <w:pPr>
              <w:jc w:val="center"/>
              <w:rPr>
                <w:rFonts w:eastAsia="Calibri"/>
                <w:b w:val="0"/>
                <w:bCs w:val="0"/>
                <w:sz w:val="12"/>
                <w:szCs w:val="12"/>
                <w:lang w:val="id-ID"/>
              </w:rPr>
            </w:pPr>
            <w:r>
              <w:rPr>
                <w:rFonts w:eastAsia="Calibri"/>
                <w:sz w:val="12"/>
                <w:szCs w:val="12"/>
                <w:lang w:val="id-ID"/>
              </w:rPr>
              <w:t>A2</w:t>
            </w:r>
          </w:p>
        </w:tc>
        <w:tc>
          <w:tcPr>
            <w:tcW w:w="0" w:type="auto"/>
          </w:tcPr>
          <w:p w14:paraId="7392DEDF"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FD602A">
              <w:rPr>
                <w:rFonts w:eastAsia="Calibri"/>
                <w:sz w:val="12"/>
                <w:szCs w:val="12"/>
                <w:lang w:val="en-GB"/>
              </w:rPr>
              <w:t>5</w:t>
            </w:r>
            <w:r>
              <w:rPr>
                <w:rFonts w:eastAsia="Calibri"/>
                <w:sz w:val="12"/>
                <w:szCs w:val="12"/>
                <w:lang w:val="en-GB"/>
              </w:rPr>
              <w:t>.</w:t>
            </w:r>
            <w:r w:rsidRPr="00FD602A">
              <w:rPr>
                <w:rFonts w:eastAsia="Calibri"/>
                <w:sz w:val="12"/>
                <w:szCs w:val="12"/>
                <w:lang w:val="en-GB"/>
              </w:rPr>
              <w:t>972</w:t>
            </w:r>
            <w:r>
              <w:rPr>
                <w:rFonts w:eastAsia="Calibri"/>
                <w:sz w:val="12"/>
                <w:szCs w:val="12"/>
                <w:lang w:val="en-GB"/>
              </w:rPr>
              <w:t>.0</w:t>
            </w:r>
            <w:r w:rsidRPr="00FD602A">
              <w:rPr>
                <w:rFonts w:eastAsia="Calibri"/>
                <w:sz w:val="12"/>
                <w:szCs w:val="12"/>
                <w:lang w:val="en-GB"/>
              </w:rPr>
              <w:t>01</w:t>
            </w:r>
          </w:p>
        </w:tc>
        <w:tc>
          <w:tcPr>
            <w:tcW w:w="0" w:type="auto"/>
          </w:tcPr>
          <w:p w14:paraId="647D11D0"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FD602A">
              <w:rPr>
                <w:rFonts w:eastAsia="Calibri"/>
                <w:sz w:val="12"/>
                <w:szCs w:val="12"/>
                <w:lang w:val="en-GB"/>
              </w:rPr>
              <w:t>0.27</w:t>
            </w:r>
          </w:p>
        </w:tc>
        <w:tc>
          <w:tcPr>
            <w:tcW w:w="0" w:type="auto"/>
          </w:tcPr>
          <w:p w14:paraId="2D213BB2"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FD602A">
              <w:rPr>
                <w:rFonts w:eastAsia="Calibri"/>
                <w:sz w:val="12"/>
                <w:szCs w:val="12"/>
                <w:lang w:val="en-GB"/>
              </w:rPr>
              <w:t>124 (</w:t>
            </w:r>
            <w:r>
              <w:rPr>
                <w:rFonts w:eastAsia="Calibri"/>
                <w:sz w:val="12"/>
                <w:szCs w:val="12"/>
                <w:lang w:val="en-GB"/>
              </w:rPr>
              <w:t>Restaurants</w:t>
            </w:r>
            <w:r w:rsidRPr="00FD602A">
              <w:rPr>
                <w:rFonts w:eastAsia="Calibri"/>
                <w:sz w:val="12"/>
                <w:szCs w:val="12"/>
                <w:lang w:val="en-GB"/>
              </w:rPr>
              <w:t>)</w:t>
            </w:r>
          </w:p>
        </w:tc>
        <w:tc>
          <w:tcPr>
            <w:tcW w:w="0" w:type="auto"/>
          </w:tcPr>
          <w:p w14:paraId="6EFBDB0D"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FD602A">
              <w:rPr>
                <w:rFonts w:eastAsia="Calibri"/>
                <w:sz w:val="12"/>
                <w:szCs w:val="12"/>
                <w:lang w:val="en-GB"/>
              </w:rPr>
              <w:t>Rp 80</w:t>
            </w:r>
            <w:r>
              <w:rPr>
                <w:rFonts w:eastAsia="Calibri"/>
                <w:sz w:val="12"/>
                <w:szCs w:val="12"/>
                <w:lang w:val="en-GB"/>
              </w:rPr>
              <w:t>.</w:t>
            </w:r>
            <w:r w:rsidRPr="00FD602A">
              <w:rPr>
                <w:rFonts w:eastAsia="Calibri"/>
                <w:sz w:val="12"/>
                <w:szCs w:val="12"/>
                <w:lang w:val="en-GB"/>
              </w:rPr>
              <w:t>000</w:t>
            </w:r>
            <w:r>
              <w:rPr>
                <w:rFonts w:eastAsia="Calibri"/>
                <w:sz w:val="12"/>
                <w:szCs w:val="12"/>
                <w:lang w:val="en-GB"/>
              </w:rPr>
              <w:t>.</w:t>
            </w:r>
            <w:r w:rsidRPr="00FD602A">
              <w:rPr>
                <w:rFonts w:eastAsia="Calibri"/>
                <w:sz w:val="12"/>
                <w:szCs w:val="12"/>
                <w:lang w:val="en-GB"/>
              </w:rPr>
              <w:t>000</w:t>
            </w:r>
          </w:p>
        </w:tc>
        <w:tc>
          <w:tcPr>
            <w:tcW w:w="0" w:type="auto"/>
          </w:tcPr>
          <w:p w14:paraId="4F0F7530"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FD602A">
              <w:rPr>
                <w:rFonts w:eastAsia="Calibri"/>
                <w:sz w:val="12"/>
                <w:szCs w:val="12"/>
                <w:lang w:val="en-GB"/>
              </w:rPr>
              <w:t>3.42</w:t>
            </w:r>
          </w:p>
        </w:tc>
        <w:tc>
          <w:tcPr>
            <w:tcW w:w="0" w:type="auto"/>
          </w:tcPr>
          <w:p w14:paraId="1F0F88D5"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FD602A">
              <w:rPr>
                <w:rFonts w:eastAsia="Calibri"/>
                <w:sz w:val="12"/>
                <w:szCs w:val="12"/>
                <w:lang w:val="en-GB"/>
              </w:rPr>
              <w:t>1052 (</w:t>
            </w:r>
            <w:r>
              <w:rPr>
                <w:rFonts w:eastAsia="Calibri"/>
                <w:sz w:val="12"/>
                <w:szCs w:val="12"/>
                <w:lang w:val="en-GB"/>
              </w:rPr>
              <w:t>Restaurants</w:t>
            </w:r>
            <w:r w:rsidRPr="00FD602A">
              <w:rPr>
                <w:rFonts w:eastAsia="Calibri"/>
                <w:sz w:val="12"/>
                <w:szCs w:val="12"/>
                <w:lang w:val="en-GB"/>
              </w:rPr>
              <w:t>)</w:t>
            </w:r>
          </w:p>
        </w:tc>
      </w:tr>
      <w:tr w:rsidR="00E64CE3" w:rsidRPr="00FD602A" w14:paraId="453B9AA8" w14:textId="77777777" w:rsidTr="00E64CE3">
        <w:tc>
          <w:tcPr>
            <w:cnfStyle w:val="001000000000" w:firstRow="0" w:lastRow="0" w:firstColumn="1" w:lastColumn="0" w:oddVBand="0" w:evenVBand="0" w:oddHBand="0" w:evenHBand="0" w:firstRowFirstColumn="0" w:firstRowLastColumn="0" w:lastRowFirstColumn="0" w:lastRowLastColumn="0"/>
            <w:tcW w:w="0" w:type="auto"/>
          </w:tcPr>
          <w:p w14:paraId="6EEC14A6" w14:textId="77777777" w:rsidR="00E64CE3" w:rsidRPr="00FD602A" w:rsidRDefault="00E64CE3" w:rsidP="007458BA">
            <w:pPr>
              <w:jc w:val="center"/>
              <w:rPr>
                <w:rFonts w:eastAsia="Calibri"/>
                <w:sz w:val="12"/>
                <w:szCs w:val="12"/>
                <w:lang w:val="id-ID"/>
              </w:rPr>
            </w:pPr>
            <w:r>
              <w:rPr>
                <w:rFonts w:eastAsia="Calibri"/>
                <w:sz w:val="12"/>
                <w:szCs w:val="12"/>
                <w:lang w:val="id-ID"/>
              </w:rPr>
              <w:t>A3</w:t>
            </w:r>
          </w:p>
        </w:tc>
        <w:tc>
          <w:tcPr>
            <w:tcW w:w="0" w:type="auto"/>
          </w:tcPr>
          <w:p w14:paraId="71E107A8"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57</w:t>
            </w:r>
            <w:r>
              <w:rPr>
                <w:rFonts w:eastAsia="Calibri"/>
                <w:sz w:val="12"/>
                <w:szCs w:val="12"/>
                <w:lang w:val="en-GB"/>
              </w:rPr>
              <w:t>.</w:t>
            </w:r>
            <w:r w:rsidRPr="00FD602A">
              <w:rPr>
                <w:rFonts w:eastAsia="Calibri"/>
                <w:sz w:val="12"/>
                <w:szCs w:val="12"/>
                <w:lang w:val="en-GB"/>
              </w:rPr>
              <w:t>878</w:t>
            </w:r>
            <w:r>
              <w:rPr>
                <w:rFonts w:eastAsia="Calibri"/>
                <w:sz w:val="12"/>
                <w:szCs w:val="12"/>
                <w:lang w:val="en-GB"/>
              </w:rPr>
              <w:t>.</w:t>
            </w:r>
            <w:r w:rsidRPr="00FD602A">
              <w:rPr>
                <w:rFonts w:eastAsia="Calibri"/>
                <w:sz w:val="12"/>
                <w:szCs w:val="12"/>
                <w:lang w:val="en-GB"/>
              </w:rPr>
              <w:t>147,6</w:t>
            </w:r>
          </w:p>
        </w:tc>
        <w:tc>
          <w:tcPr>
            <w:tcW w:w="0" w:type="auto"/>
          </w:tcPr>
          <w:p w14:paraId="60EFB2D6"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2.62</w:t>
            </w:r>
          </w:p>
        </w:tc>
        <w:tc>
          <w:tcPr>
            <w:tcW w:w="0" w:type="auto"/>
          </w:tcPr>
          <w:p w14:paraId="66ACB0DA"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Rp       27</w:t>
            </w:r>
            <w:r>
              <w:rPr>
                <w:rFonts w:eastAsia="Calibri"/>
                <w:sz w:val="12"/>
                <w:szCs w:val="12"/>
                <w:lang w:val="en-GB"/>
              </w:rPr>
              <w:t>.</w:t>
            </w:r>
            <w:r w:rsidRPr="00FD602A">
              <w:rPr>
                <w:rFonts w:eastAsia="Calibri"/>
                <w:sz w:val="12"/>
                <w:szCs w:val="12"/>
                <w:lang w:val="en-GB"/>
              </w:rPr>
              <w:t>433</w:t>
            </w:r>
            <w:r>
              <w:rPr>
                <w:rFonts w:eastAsia="Calibri"/>
                <w:sz w:val="12"/>
                <w:szCs w:val="12"/>
                <w:lang w:val="en-GB"/>
              </w:rPr>
              <w:t>.</w:t>
            </w:r>
            <w:r w:rsidRPr="00FD602A">
              <w:rPr>
                <w:rFonts w:eastAsia="Calibri"/>
                <w:sz w:val="12"/>
                <w:szCs w:val="12"/>
                <w:lang w:val="en-GB"/>
              </w:rPr>
              <w:t>782</w:t>
            </w:r>
            <w:r>
              <w:rPr>
                <w:rFonts w:eastAsia="Calibri"/>
                <w:sz w:val="12"/>
                <w:szCs w:val="12"/>
                <w:lang w:val="en-GB"/>
              </w:rPr>
              <w:t>,</w:t>
            </w:r>
            <w:r w:rsidRPr="00FD602A">
              <w:rPr>
                <w:rFonts w:eastAsia="Calibri"/>
                <w:sz w:val="12"/>
                <w:szCs w:val="12"/>
                <w:lang w:val="en-GB"/>
              </w:rPr>
              <w:t>17/KM2</w:t>
            </w:r>
          </w:p>
        </w:tc>
        <w:tc>
          <w:tcPr>
            <w:tcW w:w="0" w:type="auto"/>
          </w:tcPr>
          <w:p w14:paraId="0A0997BB"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Rp 110</w:t>
            </w:r>
            <w:r>
              <w:rPr>
                <w:rFonts w:eastAsia="Calibri"/>
                <w:sz w:val="12"/>
                <w:szCs w:val="12"/>
                <w:lang w:val="en-GB"/>
              </w:rPr>
              <w:t>.</w:t>
            </w:r>
            <w:r w:rsidRPr="00FD602A">
              <w:rPr>
                <w:rFonts w:eastAsia="Calibri"/>
                <w:sz w:val="12"/>
                <w:szCs w:val="12"/>
                <w:lang w:val="en-GB"/>
              </w:rPr>
              <w:t>000</w:t>
            </w:r>
            <w:r>
              <w:rPr>
                <w:rFonts w:eastAsia="Calibri"/>
                <w:sz w:val="12"/>
                <w:szCs w:val="12"/>
                <w:lang w:val="en-GB"/>
              </w:rPr>
              <w:t>.</w:t>
            </w:r>
            <w:r w:rsidRPr="00FD602A">
              <w:rPr>
                <w:rFonts w:eastAsia="Calibri"/>
                <w:sz w:val="12"/>
                <w:szCs w:val="12"/>
                <w:lang w:val="en-GB"/>
              </w:rPr>
              <w:t>000</w:t>
            </w:r>
          </w:p>
        </w:tc>
        <w:tc>
          <w:tcPr>
            <w:tcW w:w="0" w:type="auto"/>
          </w:tcPr>
          <w:p w14:paraId="2D0E9011"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4.70</w:t>
            </w:r>
          </w:p>
        </w:tc>
        <w:tc>
          <w:tcPr>
            <w:tcW w:w="0" w:type="auto"/>
          </w:tcPr>
          <w:p w14:paraId="22B99952"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Rp    557</w:t>
            </w:r>
            <w:r>
              <w:rPr>
                <w:rFonts w:eastAsia="Calibri"/>
                <w:sz w:val="12"/>
                <w:szCs w:val="12"/>
                <w:lang w:val="en-GB"/>
              </w:rPr>
              <w:t>.</w:t>
            </w:r>
            <w:r w:rsidRPr="00FD602A">
              <w:rPr>
                <w:rFonts w:eastAsia="Calibri"/>
                <w:sz w:val="12"/>
                <w:szCs w:val="12"/>
                <w:lang w:val="en-GB"/>
              </w:rPr>
              <w:t>752</w:t>
            </w:r>
            <w:r>
              <w:rPr>
                <w:rFonts w:eastAsia="Calibri"/>
                <w:sz w:val="12"/>
                <w:szCs w:val="12"/>
                <w:lang w:val="en-GB"/>
              </w:rPr>
              <w:t>.</w:t>
            </w:r>
            <w:r w:rsidRPr="00FD602A">
              <w:rPr>
                <w:rFonts w:eastAsia="Calibri"/>
                <w:sz w:val="12"/>
                <w:szCs w:val="12"/>
                <w:lang w:val="en-GB"/>
              </w:rPr>
              <w:t>763</w:t>
            </w:r>
            <w:r>
              <w:rPr>
                <w:rFonts w:eastAsia="Calibri"/>
                <w:sz w:val="12"/>
                <w:szCs w:val="12"/>
                <w:lang w:val="en-GB"/>
              </w:rPr>
              <w:t>,</w:t>
            </w:r>
            <w:r w:rsidRPr="00FD602A">
              <w:rPr>
                <w:rFonts w:eastAsia="Calibri"/>
                <w:sz w:val="12"/>
                <w:szCs w:val="12"/>
                <w:lang w:val="en-GB"/>
              </w:rPr>
              <w:t>41/KM2</w:t>
            </w:r>
          </w:p>
        </w:tc>
      </w:tr>
      <w:tr w:rsidR="00E64CE3" w:rsidRPr="00FD602A" w14:paraId="7A33AA8B" w14:textId="77777777" w:rsidTr="00E64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A8FDE5" w14:textId="77777777" w:rsidR="00E64CE3" w:rsidRPr="00FD602A" w:rsidRDefault="00E64CE3" w:rsidP="007458BA">
            <w:pPr>
              <w:jc w:val="center"/>
              <w:rPr>
                <w:rFonts w:eastAsia="Calibri"/>
                <w:sz w:val="12"/>
                <w:szCs w:val="12"/>
                <w:lang w:val="id-ID"/>
              </w:rPr>
            </w:pPr>
            <w:r>
              <w:rPr>
                <w:rFonts w:eastAsia="Calibri"/>
                <w:sz w:val="12"/>
                <w:szCs w:val="12"/>
                <w:lang w:val="id-ID"/>
              </w:rPr>
              <w:t>A4</w:t>
            </w:r>
          </w:p>
        </w:tc>
        <w:tc>
          <w:tcPr>
            <w:tcW w:w="0" w:type="auto"/>
          </w:tcPr>
          <w:p w14:paraId="6020EC04"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FD602A">
              <w:rPr>
                <w:rFonts w:eastAsia="Calibri"/>
                <w:sz w:val="12"/>
                <w:szCs w:val="12"/>
                <w:lang w:val="en-GB"/>
              </w:rPr>
              <w:t xml:space="preserve">1.621.550 </w:t>
            </w:r>
          </w:p>
        </w:tc>
        <w:tc>
          <w:tcPr>
            <w:tcW w:w="0" w:type="auto"/>
          </w:tcPr>
          <w:p w14:paraId="6A0B4DA3"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FD602A">
              <w:rPr>
                <w:rFonts w:eastAsia="Calibri"/>
                <w:sz w:val="12"/>
                <w:szCs w:val="12"/>
                <w:lang w:val="en-GB"/>
              </w:rPr>
              <w:t>0,07</w:t>
            </w:r>
          </w:p>
        </w:tc>
        <w:tc>
          <w:tcPr>
            <w:tcW w:w="0" w:type="auto"/>
          </w:tcPr>
          <w:p w14:paraId="4EAE4D8A"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FD602A">
              <w:rPr>
                <w:rFonts w:eastAsia="Calibri"/>
                <w:sz w:val="12"/>
                <w:szCs w:val="12"/>
                <w:lang w:val="en-GB"/>
              </w:rPr>
              <w:t xml:space="preserve"> Rp         768.601,82/KM2</w:t>
            </w:r>
          </w:p>
        </w:tc>
        <w:tc>
          <w:tcPr>
            <w:tcW w:w="0" w:type="auto"/>
          </w:tcPr>
          <w:p w14:paraId="0FE1937B"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FD602A">
              <w:rPr>
                <w:rFonts w:eastAsia="Calibri"/>
                <w:sz w:val="12"/>
                <w:szCs w:val="12"/>
                <w:lang w:val="en-GB"/>
              </w:rPr>
              <w:t xml:space="preserve">13.519.333 </w:t>
            </w:r>
          </w:p>
        </w:tc>
        <w:tc>
          <w:tcPr>
            <w:tcW w:w="0" w:type="auto"/>
          </w:tcPr>
          <w:p w14:paraId="5BE3A22F"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FD602A">
              <w:rPr>
                <w:rFonts w:eastAsia="Calibri"/>
                <w:sz w:val="12"/>
                <w:szCs w:val="12"/>
                <w:lang w:val="en-GB"/>
              </w:rPr>
              <w:t>0,58</w:t>
            </w:r>
          </w:p>
        </w:tc>
        <w:tc>
          <w:tcPr>
            <w:tcW w:w="0" w:type="auto"/>
          </w:tcPr>
          <w:p w14:paraId="46D1D05F" w14:textId="77777777" w:rsidR="00E64CE3" w:rsidRPr="00FD602A" w:rsidRDefault="00E64CE3" w:rsidP="007458BA">
            <w:pPr>
              <w:jc w:val="center"/>
              <w:cnfStyle w:val="000000100000" w:firstRow="0" w:lastRow="0" w:firstColumn="0" w:lastColumn="0" w:oddVBand="0" w:evenVBand="0" w:oddHBand="1" w:evenHBand="0" w:firstRowFirstColumn="0" w:firstRowLastColumn="0" w:lastRowFirstColumn="0" w:lastRowLastColumn="0"/>
              <w:rPr>
                <w:rFonts w:eastAsia="Calibri"/>
                <w:sz w:val="12"/>
                <w:szCs w:val="12"/>
                <w:lang w:val="id-ID"/>
              </w:rPr>
            </w:pPr>
            <w:r w:rsidRPr="00FD602A">
              <w:rPr>
                <w:rFonts w:eastAsia="Calibri"/>
                <w:sz w:val="12"/>
                <w:szCs w:val="12"/>
                <w:lang w:val="en-GB"/>
              </w:rPr>
              <w:t xml:space="preserve"> Rp   68.549.503,09/KM2</w:t>
            </w:r>
          </w:p>
        </w:tc>
      </w:tr>
      <w:tr w:rsidR="00E64CE3" w:rsidRPr="00FD602A" w14:paraId="62A81803" w14:textId="77777777" w:rsidTr="00E64CE3">
        <w:tc>
          <w:tcPr>
            <w:cnfStyle w:val="001000000000" w:firstRow="0" w:lastRow="0" w:firstColumn="1" w:lastColumn="0" w:oddVBand="0" w:evenVBand="0" w:oddHBand="0" w:evenHBand="0" w:firstRowFirstColumn="0" w:firstRowLastColumn="0" w:lastRowFirstColumn="0" w:lastRowLastColumn="0"/>
            <w:tcW w:w="0" w:type="auto"/>
          </w:tcPr>
          <w:p w14:paraId="2B229520" w14:textId="77777777" w:rsidR="00E64CE3" w:rsidRPr="00167866" w:rsidRDefault="00E64CE3" w:rsidP="007458BA">
            <w:pPr>
              <w:jc w:val="center"/>
              <w:rPr>
                <w:rFonts w:eastAsia="Calibri"/>
                <w:b w:val="0"/>
                <w:bCs w:val="0"/>
                <w:sz w:val="12"/>
                <w:szCs w:val="12"/>
                <w:lang w:val="id-ID"/>
              </w:rPr>
            </w:pPr>
            <w:r>
              <w:rPr>
                <w:rFonts w:eastAsia="Calibri"/>
                <w:sz w:val="12"/>
                <w:szCs w:val="12"/>
                <w:lang w:val="id-ID"/>
              </w:rPr>
              <w:t>A5</w:t>
            </w:r>
          </w:p>
        </w:tc>
        <w:tc>
          <w:tcPr>
            <w:tcW w:w="0" w:type="auto"/>
          </w:tcPr>
          <w:p w14:paraId="68BFC590"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 xml:space="preserve">137.188.556 </w:t>
            </w:r>
          </w:p>
        </w:tc>
        <w:tc>
          <w:tcPr>
            <w:tcW w:w="0" w:type="auto"/>
          </w:tcPr>
          <w:p w14:paraId="200B1675"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6,20</w:t>
            </w:r>
          </w:p>
        </w:tc>
        <w:tc>
          <w:tcPr>
            <w:tcW w:w="0" w:type="auto"/>
          </w:tcPr>
          <w:p w14:paraId="6469449E"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p>
        </w:tc>
        <w:tc>
          <w:tcPr>
            <w:tcW w:w="0" w:type="auto"/>
          </w:tcPr>
          <w:p w14:paraId="357A517E"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103.363.582</w:t>
            </w:r>
            <w:r>
              <w:rPr>
                <w:rFonts w:eastAsia="Calibri"/>
                <w:sz w:val="12"/>
                <w:szCs w:val="12"/>
                <w:lang w:val="en-GB"/>
              </w:rPr>
              <w:t>,</w:t>
            </w:r>
            <w:r w:rsidRPr="00FD602A">
              <w:rPr>
                <w:rFonts w:eastAsia="Calibri"/>
                <w:sz w:val="12"/>
                <w:szCs w:val="12"/>
                <w:lang w:val="en-GB"/>
              </w:rPr>
              <w:t xml:space="preserve">8 </w:t>
            </w:r>
          </w:p>
        </w:tc>
        <w:tc>
          <w:tcPr>
            <w:tcW w:w="0" w:type="auto"/>
          </w:tcPr>
          <w:p w14:paraId="30951E6C"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r w:rsidRPr="00FD602A">
              <w:rPr>
                <w:rFonts w:eastAsia="Calibri"/>
                <w:sz w:val="12"/>
                <w:szCs w:val="12"/>
                <w:lang w:val="en-GB"/>
              </w:rPr>
              <w:t>4,41</w:t>
            </w:r>
          </w:p>
        </w:tc>
        <w:tc>
          <w:tcPr>
            <w:tcW w:w="0" w:type="auto"/>
          </w:tcPr>
          <w:p w14:paraId="63BCF24B" w14:textId="77777777" w:rsidR="00E64CE3" w:rsidRPr="00FD602A" w:rsidRDefault="00E64CE3" w:rsidP="007458BA">
            <w:pPr>
              <w:jc w:val="center"/>
              <w:cnfStyle w:val="000000000000" w:firstRow="0" w:lastRow="0" w:firstColumn="0" w:lastColumn="0" w:oddVBand="0" w:evenVBand="0" w:oddHBand="0" w:evenHBand="0" w:firstRowFirstColumn="0" w:firstRowLastColumn="0" w:lastRowFirstColumn="0" w:lastRowLastColumn="0"/>
              <w:rPr>
                <w:rFonts w:eastAsia="Calibri"/>
                <w:sz w:val="12"/>
                <w:szCs w:val="12"/>
                <w:lang w:val="id-ID"/>
              </w:rPr>
            </w:pPr>
          </w:p>
        </w:tc>
      </w:tr>
    </w:tbl>
    <w:p w14:paraId="65AE1317" w14:textId="77777777" w:rsidR="00E64CE3" w:rsidRDefault="00E64CE3" w:rsidP="007458BA">
      <w:pPr>
        <w:rPr>
          <w:sz w:val="20"/>
          <w:szCs w:val="20"/>
        </w:rPr>
      </w:pPr>
      <w:r w:rsidRPr="00B518A5">
        <w:rPr>
          <w:sz w:val="20"/>
          <w:szCs w:val="20"/>
        </w:rPr>
        <w:t>Source</w:t>
      </w:r>
      <w:r w:rsidRPr="00FD602A">
        <w:rPr>
          <w:sz w:val="20"/>
          <w:szCs w:val="20"/>
        </w:rPr>
        <w:t xml:space="preserve">: </w:t>
      </w:r>
      <w:r w:rsidRPr="00FB2CF4">
        <w:rPr>
          <w:sz w:val="20"/>
          <w:szCs w:val="20"/>
        </w:rPr>
        <w:t xml:space="preserve">APBD Amendment of South Lampung Regency in 2022 and Bandar </w:t>
      </w:r>
      <w:r>
        <w:rPr>
          <w:sz w:val="20"/>
          <w:szCs w:val="20"/>
        </w:rPr>
        <w:t xml:space="preserve">Lampung </w:t>
      </w:r>
      <w:r w:rsidRPr="00FB2CF4">
        <w:rPr>
          <w:sz w:val="20"/>
          <w:szCs w:val="20"/>
        </w:rPr>
        <w:t>City APBD in 2022</w:t>
      </w:r>
    </w:p>
    <w:p w14:paraId="0D958B7E" w14:textId="3D151094" w:rsidR="00E64CE3" w:rsidRPr="00E64CE3" w:rsidRDefault="00E64CE3" w:rsidP="007458BA">
      <w:pPr>
        <w:pStyle w:val="ListParagraph"/>
        <w:numPr>
          <w:ilvl w:val="0"/>
          <w:numId w:val="2"/>
        </w:numPr>
        <w:rPr>
          <w:b/>
          <w:bCs/>
        </w:rPr>
      </w:pPr>
      <w:r w:rsidRPr="00E64CE3">
        <w:rPr>
          <w:b/>
          <w:bCs/>
        </w:rPr>
        <w:t xml:space="preserve">Tax Potential Analysis </w:t>
      </w:r>
    </w:p>
    <w:p w14:paraId="44A3C9E8" w14:textId="50E8C9E1" w:rsidR="00F07020" w:rsidRDefault="00E64CE3" w:rsidP="007458BA">
      <w:r w:rsidRPr="00E64CE3">
        <w:t>The data in Table 8 shows that the percentage of local taxes generated by regencies/municipalities is not the primary source of revenue for local governments towards regional revenue because the contribution of local taxes to regencies/municipalities revenue is only 9.88%. This is inversely proportional to the state tax revenue of 77.19% of total state revenue, which makes taxes the primary source of state revenue.</w:t>
      </w:r>
    </w:p>
    <w:p w14:paraId="150B90DE" w14:textId="77777777" w:rsidR="00E64CE3" w:rsidRDefault="00E64CE3" w:rsidP="007458BA">
      <w:pPr>
        <w:pStyle w:val="Caption"/>
        <w:keepNext/>
        <w:spacing w:after="0"/>
        <w:rPr>
          <w:lang w:val="it-IT"/>
        </w:rPr>
      </w:pPr>
      <w:r w:rsidRPr="00E36C66">
        <w:rPr>
          <w:lang w:val="it-IT"/>
        </w:rPr>
        <w:t>Table</w:t>
      </w:r>
      <w:r w:rsidRPr="00FD602A">
        <w:rPr>
          <w:lang w:val="it-IT"/>
        </w:rPr>
        <w:t xml:space="preserve"> </w:t>
      </w:r>
      <w:r>
        <w:fldChar w:fldCharType="begin"/>
      </w:r>
      <w:r w:rsidRPr="00FD602A">
        <w:rPr>
          <w:lang w:val="it-IT"/>
        </w:rPr>
        <w:instrText xml:space="preserve"> SEQ Table \* ARABIC </w:instrText>
      </w:r>
      <w:r>
        <w:fldChar w:fldCharType="separate"/>
      </w:r>
      <w:r>
        <w:rPr>
          <w:noProof/>
          <w:lang w:val="it-IT"/>
        </w:rPr>
        <w:t>8</w:t>
      </w:r>
      <w:r>
        <w:fldChar w:fldCharType="end"/>
      </w:r>
      <w:r w:rsidRPr="00FD602A">
        <w:rPr>
          <w:lang w:val="it-IT"/>
        </w:rPr>
        <w:t xml:space="preserve"> </w:t>
      </w:r>
      <w:r w:rsidRPr="008A2E03">
        <w:rPr>
          <w:lang w:val="it-IT"/>
        </w:rPr>
        <w:t>Ratio of Tax Revenue to Total Revenue between Central Government and Regional Government</w:t>
      </w:r>
    </w:p>
    <w:p w14:paraId="77C1609F" w14:textId="77777777" w:rsidR="00E64CE3" w:rsidRPr="00FD602A" w:rsidRDefault="00E64CE3" w:rsidP="007458BA">
      <w:pPr>
        <w:pStyle w:val="Caption"/>
        <w:keepNext/>
        <w:spacing w:after="0"/>
        <w:rPr>
          <w:lang w:val="it-IT"/>
        </w:rPr>
      </w:pPr>
      <w:r>
        <w:rPr>
          <w:lang w:val="it-IT"/>
        </w:rPr>
        <w:t xml:space="preserve"> </w:t>
      </w:r>
    </w:p>
    <w:tbl>
      <w:tblPr>
        <w:tblStyle w:val="PlainTable2"/>
        <w:tblW w:w="5000" w:type="pct"/>
        <w:tblLook w:val="04A0" w:firstRow="1" w:lastRow="0" w:firstColumn="1" w:lastColumn="0" w:noHBand="0" w:noVBand="1"/>
      </w:tblPr>
      <w:tblGrid>
        <w:gridCol w:w="5125"/>
        <w:gridCol w:w="4570"/>
      </w:tblGrid>
      <w:tr w:rsidR="00E64CE3" w:rsidRPr="00EC6406" w14:paraId="5629F666" w14:textId="77777777" w:rsidTr="00E64CE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43" w:type="pct"/>
            <w:noWrap/>
            <w:hideMark/>
          </w:tcPr>
          <w:p w14:paraId="50A4BB02" w14:textId="77777777" w:rsidR="00E64CE3" w:rsidRPr="00AA538A" w:rsidRDefault="00E64CE3" w:rsidP="007458BA">
            <w:pPr>
              <w:rPr>
                <w:sz w:val="18"/>
                <w:szCs w:val="18"/>
              </w:rPr>
            </w:pPr>
            <w:r w:rsidRPr="00AA538A">
              <w:rPr>
                <w:sz w:val="18"/>
                <w:szCs w:val="18"/>
              </w:rPr>
              <w:t xml:space="preserve">Level of Governments </w:t>
            </w:r>
          </w:p>
        </w:tc>
        <w:tc>
          <w:tcPr>
            <w:tcW w:w="2357" w:type="pct"/>
            <w:noWrap/>
            <w:hideMark/>
          </w:tcPr>
          <w:p w14:paraId="5AA71052" w14:textId="77777777" w:rsidR="00E64CE3" w:rsidRPr="00AA538A" w:rsidRDefault="00E64CE3" w:rsidP="007458BA">
            <w:pPr>
              <w:jc w:val="center"/>
              <w:cnfStyle w:val="100000000000" w:firstRow="1" w:lastRow="0" w:firstColumn="0" w:lastColumn="0" w:oddVBand="0" w:evenVBand="0" w:oddHBand="0" w:evenHBand="0" w:firstRowFirstColumn="0" w:firstRowLastColumn="0" w:lastRowFirstColumn="0" w:lastRowLastColumn="0"/>
              <w:rPr>
                <w:sz w:val="18"/>
                <w:szCs w:val="18"/>
              </w:rPr>
            </w:pPr>
            <w:r w:rsidRPr="00AA538A">
              <w:rPr>
                <w:sz w:val="18"/>
                <w:szCs w:val="18"/>
              </w:rPr>
              <w:t>Perc. of Tax to Revenue Ratio</w:t>
            </w:r>
          </w:p>
        </w:tc>
      </w:tr>
      <w:tr w:rsidR="00E64CE3" w:rsidRPr="00EC6406" w14:paraId="1F0F5D40" w14:textId="77777777" w:rsidTr="00E64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43" w:type="pct"/>
            <w:noWrap/>
            <w:hideMark/>
          </w:tcPr>
          <w:p w14:paraId="22DE9461" w14:textId="77777777" w:rsidR="00E64CE3" w:rsidRPr="00AA538A" w:rsidRDefault="00E64CE3" w:rsidP="007458BA">
            <w:pPr>
              <w:rPr>
                <w:b w:val="0"/>
                <w:bCs w:val="0"/>
                <w:sz w:val="18"/>
                <w:szCs w:val="18"/>
              </w:rPr>
            </w:pPr>
            <w:r w:rsidRPr="00AA538A">
              <w:rPr>
                <w:b w:val="0"/>
                <w:bCs w:val="0"/>
                <w:sz w:val="18"/>
                <w:szCs w:val="18"/>
              </w:rPr>
              <w:t xml:space="preserve">Central Government </w:t>
            </w:r>
          </w:p>
        </w:tc>
        <w:tc>
          <w:tcPr>
            <w:tcW w:w="2357" w:type="pct"/>
            <w:noWrap/>
            <w:hideMark/>
          </w:tcPr>
          <w:p w14:paraId="4FEF013D" w14:textId="77777777" w:rsidR="00E64CE3" w:rsidRPr="00AA538A" w:rsidRDefault="00E64CE3" w:rsidP="007458BA">
            <w:pPr>
              <w:jc w:val="center"/>
              <w:cnfStyle w:val="000000100000" w:firstRow="0" w:lastRow="0" w:firstColumn="0" w:lastColumn="0" w:oddVBand="0" w:evenVBand="0" w:oddHBand="1" w:evenHBand="0" w:firstRowFirstColumn="0" w:firstRowLastColumn="0" w:lastRowFirstColumn="0" w:lastRowLastColumn="0"/>
              <w:rPr>
                <w:sz w:val="18"/>
                <w:szCs w:val="18"/>
              </w:rPr>
            </w:pPr>
            <w:r w:rsidRPr="00AA538A">
              <w:rPr>
                <w:sz w:val="18"/>
                <w:szCs w:val="18"/>
              </w:rPr>
              <w:t>77.19%</w:t>
            </w:r>
          </w:p>
        </w:tc>
      </w:tr>
      <w:tr w:rsidR="00E64CE3" w:rsidRPr="00EC6406" w14:paraId="548368AF" w14:textId="77777777" w:rsidTr="00E64CE3">
        <w:trPr>
          <w:trHeight w:val="290"/>
        </w:trPr>
        <w:tc>
          <w:tcPr>
            <w:cnfStyle w:val="001000000000" w:firstRow="0" w:lastRow="0" w:firstColumn="1" w:lastColumn="0" w:oddVBand="0" w:evenVBand="0" w:oddHBand="0" w:evenHBand="0" w:firstRowFirstColumn="0" w:firstRowLastColumn="0" w:lastRowFirstColumn="0" w:lastRowLastColumn="0"/>
            <w:tcW w:w="2643" w:type="pct"/>
            <w:noWrap/>
          </w:tcPr>
          <w:p w14:paraId="2B791CCB" w14:textId="77777777" w:rsidR="00E64CE3" w:rsidRPr="00AA538A" w:rsidRDefault="00E64CE3" w:rsidP="007458BA">
            <w:pPr>
              <w:rPr>
                <w:b w:val="0"/>
                <w:bCs w:val="0"/>
                <w:sz w:val="18"/>
                <w:szCs w:val="18"/>
              </w:rPr>
            </w:pPr>
            <w:r w:rsidRPr="00AA538A">
              <w:rPr>
                <w:b w:val="0"/>
                <w:bCs w:val="0"/>
                <w:sz w:val="18"/>
                <w:szCs w:val="18"/>
              </w:rPr>
              <w:t>Local Government</w:t>
            </w:r>
          </w:p>
        </w:tc>
        <w:tc>
          <w:tcPr>
            <w:tcW w:w="2357" w:type="pct"/>
            <w:noWrap/>
          </w:tcPr>
          <w:p w14:paraId="60526898" w14:textId="77777777" w:rsidR="00E64CE3" w:rsidRPr="00AA538A" w:rsidRDefault="00E64CE3" w:rsidP="007458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AA538A">
              <w:rPr>
                <w:sz w:val="18"/>
                <w:szCs w:val="18"/>
              </w:rPr>
              <w:t>20.23%</w:t>
            </w:r>
          </w:p>
        </w:tc>
      </w:tr>
      <w:tr w:rsidR="00E64CE3" w:rsidRPr="00EC6406" w14:paraId="61B16FE1" w14:textId="77777777" w:rsidTr="00E64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43" w:type="pct"/>
            <w:noWrap/>
            <w:hideMark/>
          </w:tcPr>
          <w:p w14:paraId="5053D6C4" w14:textId="77777777" w:rsidR="00E64CE3" w:rsidRPr="00AA538A" w:rsidRDefault="00E64CE3" w:rsidP="007458BA">
            <w:pPr>
              <w:rPr>
                <w:b w:val="0"/>
                <w:bCs w:val="0"/>
                <w:sz w:val="18"/>
                <w:szCs w:val="18"/>
              </w:rPr>
            </w:pPr>
            <w:r w:rsidRPr="00AA538A">
              <w:rPr>
                <w:b w:val="0"/>
                <w:bCs w:val="0"/>
                <w:sz w:val="18"/>
                <w:szCs w:val="18"/>
              </w:rPr>
              <w:t>Provincial Government</w:t>
            </w:r>
          </w:p>
        </w:tc>
        <w:tc>
          <w:tcPr>
            <w:tcW w:w="2357" w:type="pct"/>
            <w:noWrap/>
            <w:hideMark/>
          </w:tcPr>
          <w:p w14:paraId="3B630B33" w14:textId="77777777" w:rsidR="00E64CE3" w:rsidRPr="00AA538A" w:rsidRDefault="00E64CE3" w:rsidP="007458BA">
            <w:pPr>
              <w:jc w:val="center"/>
              <w:cnfStyle w:val="000000100000" w:firstRow="0" w:lastRow="0" w:firstColumn="0" w:lastColumn="0" w:oddVBand="0" w:evenVBand="0" w:oddHBand="1" w:evenHBand="0" w:firstRowFirstColumn="0" w:firstRowLastColumn="0" w:lastRowFirstColumn="0" w:lastRowLastColumn="0"/>
              <w:rPr>
                <w:sz w:val="18"/>
                <w:szCs w:val="18"/>
              </w:rPr>
            </w:pPr>
            <w:r w:rsidRPr="00AA538A">
              <w:rPr>
                <w:sz w:val="18"/>
                <w:szCs w:val="18"/>
              </w:rPr>
              <w:t>46.19%</w:t>
            </w:r>
          </w:p>
        </w:tc>
      </w:tr>
      <w:tr w:rsidR="00E64CE3" w:rsidRPr="00EC6406" w14:paraId="5367BA03" w14:textId="77777777" w:rsidTr="00E64CE3">
        <w:trPr>
          <w:trHeight w:val="290"/>
        </w:trPr>
        <w:tc>
          <w:tcPr>
            <w:cnfStyle w:val="001000000000" w:firstRow="0" w:lastRow="0" w:firstColumn="1" w:lastColumn="0" w:oddVBand="0" w:evenVBand="0" w:oddHBand="0" w:evenHBand="0" w:firstRowFirstColumn="0" w:firstRowLastColumn="0" w:lastRowFirstColumn="0" w:lastRowLastColumn="0"/>
            <w:tcW w:w="2643" w:type="pct"/>
            <w:noWrap/>
          </w:tcPr>
          <w:p w14:paraId="6F1DE819" w14:textId="77777777" w:rsidR="00E64CE3" w:rsidRPr="00992447" w:rsidRDefault="00E64CE3" w:rsidP="007458BA">
            <w:pPr>
              <w:rPr>
                <w:b w:val="0"/>
                <w:bCs w:val="0"/>
                <w:sz w:val="18"/>
                <w:szCs w:val="18"/>
              </w:rPr>
            </w:pPr>
            <w:r w:rsidRPr="00992447">
              <w:rPr>
                <w:b w:val="0"/>
                <w:bCs w:val="0"/>
                <w:sz w:val="18"/>
                <w:szCs w:val="18"/>
              </w:rPr>
              <w:t>Regency and Municipality Government</w:t>
            </w:r>
          </w:p>
        </w:tc>
        <w:tc>
          <w:tcPr>
            <w:tcW w:w="2357" w:type="pct"/>
            <w:noWrap/>
          </w:tcPr>
          <w:p w14:paraId="695DED5B" w14:textId="77777777" w:rsidR="00E64CE3" w:rsidRPr="00AA538A" w:rsidRDefault="00E64CE3" w:rsidP="007458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AA538A">
              <w:rPr>
                <w:sz w:val="18"/>
                <w:szCs w:val="18"/>
              </w:rPr>
              <w:t>9.88%</w:t>
            </w:r>
          </w:p>
        </w:tc>
      </w:tr>
      <w:tr w:rsidR="00E64CE3" w:rsidRPr="00EC6406" w14:paraId="6E8FDAD3" w14:textId="77777777" w:rsidTr="00E64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43" w:type="pct"/>
            <w:noWrap/>
            <w:hideMark/>
          </w:tcPr>
          <w:p w14:paraId="4D57EBE4" w14:textId="77777777" w:rsidR="00E64CE3" w:rsidRPr="00AA538A" w:rsidRDefault="00E64CE3" w:rsidP="007458BA">
            <w:pPr>
              <w:rPr>
                <w:b w:val="0"/>
                <w:bCs w:val="0"/>
                <w:sz w:val="18"/>
                <w:szCs w:val="18"/>
              </w:rPr>
            </w:pPr>
            <w:r w:rsidRPr="00AA538A">
              <w:rPr>
                <w:b w:val="0"/>
                <w:bCs w:val="0"/>
                <w:sz w:val="18"/>
                <w:szCs w:val="18"/>
              </w:rPr>
              <w:t>Regency Government</w:t>
            </w:r>
          </w:p>
        </w:tc>
        <w:tc>
          <w:tcPr>
            <w:tcW w:w="2357" w:type="pct"/>
            <w:noWrap/>
            <w:hideMark/>
          </w:tcPr>
          <w:p w14:paraId="41016BC2" w14:textId="77777777" w:rsidR="00E64CE3" w:rsidRPr="00AA538A" w:rsidRDefault="00E64CE3" w:rsidP="007458BA">
            <w:pPr>
              <w:jc w:val="center"/>
              <w:cnfStyle w:val="000000100000" w:firstRow="0" w:lastRow="0" w:firstColumn="0" w:lastColumn="0" w:oddVBand="0" w:evenVBand="0" w:oddHBand="1" w:evenHBand="0" w:firstRowFirstColumn="0" w:firstRowLastColumn="0" w:lastRowFirstColumn="0" w:lastRowLastColumn="0"/>
              <w:rPr>
                <w:sz w:val="18"/>
                <w:szCs w:val="18"/>
              </w:rPr>
            </w:pPr>
            <w:r w:rsidRPr="00AA538A">
              <w:rPr>
                <w:sz w:val="18"/>
                <w:szCs w:val="18"/>
              </w:rPr>
              <w:t>6.80%</w:t>
            </w:r>
          </w:p>
        </w:tc>
      </w:tr>
      <w:tr w:rsidR="00E64CE3" w:rsidRPr="00EC6406" w14:paraId="604E3606" w14:textId="77777777" w:rsidTr="00E64CE3">
        <w:trPr>
          <w:trHeight w:val="290"/>
        </w:trPr>
        <w:tc>
          <w:tcPr>
            <w:cnfStyle w:val="001000000000" w:firstRow="0" w:lastRow="0" w:firstColumn="1" w:lastColumn="0" w:oddVBand="0" w:evenVBand="0" w:oddHBand="0" w:evenHBand="0" w:firstRowFirstColumn="0" w:firstRowLastColumn="0" w:lastRowFirstColumn="0" w:lastRowLastColumn="0"/>
            <w:tcW w:w="2643" w:type="pct"/>
            <w:noWrap/>
            <w:hideMark/>
          </w:tcPr>
          <w:p w14:paraId="1FCAB954" w14:textId="77777777" w:rsidR="00E64CE3" w:rsidRPr="00AA538A" w:rsidRDefault="00E64CE3" w:rsidP="007458BA">
            <w:pPr>
              <w:rPr>
                <w:b w:val="0"/>
                <w:bCs w:val="0"/>
                <w:sz w:val="18"/>
                <w:szCs w:val="18"/>
              </w:rPr>
            </w:pPr>
            <w:r w:rsidRPr="00AA538A">
              <w:rPr>
                <w:b w:val="0"/>
                <w:bCs w:val="0"/>
                <w:sz w:val="18"/>
                <w:szCs w:val="18"/>
              </w:rPr>
              <w:t>Municipality Government</w:t>
            </w:r>
          </w:p>
        </w:tc>
        <w:tc>
          <w:tcPr>
            <w:tcW w:w="2357" w:type="pct"/>
            <w:noWrap/>
            <w:hideMark/>
          </w:tcPr>
          <w:p w14:paraId="3F349BEA" w14:textId="77777777" w:rsidR="00E64CE3" w:rsidRPr="00AA538A" w:rsidRDefault="00E64CE3" w:rsidP="007458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AA538A">
              <w:rPr>
                <w:sz w:val="18"/>
                <w:szCs w:val="18"/>
              </w:rPr>
              <w:t>23.20%</w:t>
            </w:r>
          </w:p>
        </w:tc>
      </w:tr>
    </w:tbl>
    <w:p w14:paraId="337B721A" w14:textId="77777777" w:rsidR="00E64CE3" w:rsidRPr="00FD602A" w:rsidRDefault="00E64CE3" w:rsidP="007458BA">
      <w:pPr>
        <w:spacing w:line="240" w:lineRule="auto"/>
        <w:rPr>
          <w:sz w:val="20"/>
          <w:szCs w:val="20"/>
          <w:lang w:val="id-ID"/>
        </w:rPr>
      </w:pPr>
      <w:r w:rsidRPr="00E36C66">
        <w:rPr>
          <w:sz w:val="20"/>
          <w:szCs w:val="20"/>
          <w:lang w:val="id-ID"/>
        </w:rPr>
        <w:t>Source:</w:t>
      </w:r>
      <w:r>
        <w:rPr>
          <w:sz w:val="20"/>
          <w:szCs w:val="20"/>
          <w:lang w:val="id-ID"/>
        </w:rPr>
        <w:t xml:space="preserve"> BPS </w:t>
      </w:r>
    </w:p>
    <w:p w14:paraId="1FB4FAC2" w14:textId="77777777" w:rsidR="00E64CE3" w:rsidRDefault="00E64CE3" w:rsidP="007458BA">
      <w:r w:rsidRPr="00E64CE3">
        <w:t>In addition, based on the data above, there is an imbalance in tax revenue generated by regencies and municipalities. The total tax revenue generated by regencies only contributes 6.80% of total regional</w:t>
      </w:r>
      <w:r>
        <w:t xml:space="preserve"> </w:t>
      </w:r>
      <w:r w:rsidRPr="00E64CE3">
        <w:t xml:space="preserve">revenue. Meanwhile, the total tax revenue generated by municipalities contributes 23.20%, which is even more significant than the contribution of regencies/ municipalities PAD in Indonesia. </w:t>
      </w:r>
    </w:p>
    <w:p w14:paraId="34743B3F" w14:textId="77777777" w:rsidR="00E64CE3" w:rsidRDefault="00E64CE3" w:rsidP="007458BA">
      <w:r w:rsidRPr="00E64CE3">
        <w:t xml:space="preserve">Based on the comparative data in Table 8, district tax revenues contribute the least to total state/ regional revenues. Regencies and municipalities have the exact source of tax revenue per Law No. 1/2022 concerning financial relations between central and local government. However, tax revenue disparities across regencies and municipalities persist because the potential inherent in each sort of tax differs. </w:t>
      </w:r>
    </w:p>
    <w:p w14:paraId="712820B1" w14:textId="7D049926" w:rsidR="00E64CE3" w:rsidRDefault="00E64CE3" w:rsidP="007458BA">
      <w:r w:rsidRPr="00E64CE3">
        <w:t>This section will compare the potential tax sources of adjoining regencies and municipalities.</w:t>
      </w:r>
    </w:p>
    <w:p w14:paraId="05AE1EAF" w14:textId="03DBC664" w:rsidR="00E64CE3" w:rsidRPr="00E64CE3" w:rsidRDefault="00E64CE3" w:rsidP="007458BA">
      <w:pPr>
        <w:pStyle w:val="ListParagraph"/>
        <w:numPr>
          <w:ilvl w:val="0"/>
          <w:numId w:val="3"/>
        </w:numPr>
        <w:rPr>
          <w:b/>
          <w:bCs/>
        </w:rPr>
      </w:pPr>
      <w:r w:rsidRPr="00E64CE3">
        <w:rPr>
          <w:b/>
          <w:bCs/>
        </w:rPr>
        <w:t xml:space="preserve">Hotel Tax </w:t>
      </w:r>
    </w:p>
    <w:p w14:paraId="3AF93F25" w14:textId="6A450893" w:rsidR="00E64CE3" w:rsidRDefault="00E64CE3" w:rsidP="007458BA">
      <w:r w:rsidRPr="00E64CE3">
        <w:t xml:space="preserve">Hotel tax is one type of tax that has a positive and significant effect on regional revenue (Sanjaya &amp; Wijaya, 2020). The number of hotels that stand in a regency or city affects the tax revenue a local government receives. Research conducted by Alyani and </w:t>
      </w:r>
      <w:proofErr w:type="spellStart"/>
      <w:r w:rsidRPr="00E64CE3">
        <w:t>Siwi</w:t>
      </w:r>
      <w:proofErr w:type="spellEnd"/>
      <w:r w:rsidRPr="00E64CE3">
        <w:t xml:space="preserve"> (2020) showed that the number of existing hotels positively affects hotel tax value. The PAD revenue comparison table across adjoining regencies/ municipalities </w:t>
      </w:r>
      <w:proofErr w:type="spellStart"/>
      <w:r w:rsidRPr="00E64CE3">
        <w:t>analyzes</w:t>
      </w:r>
      <w:proofErr w:type="spellEnd"/>
      <w:r w:rsidRPr="00E64CE3">
        <w:t xml:space="preserve"> the value and ratio of hotel tax revenue to total revenue </w:t>
      </w:r>
      <w:r w:rsidR="007458BA">
        <w:rPr>
          <w:noProof/>
        </w:rPr>
        <w:lastRenderedPageBreak/>
        <w:drawing>
          <wp:anchor distT="0" distB="0" distL="114300" distR="114300" simplePos="0" relativeHeight="251678720" behindDoc="1" locked="0" layoutInCell="1" allowOverlap="0" wp14:anchorId="7566EEDA" wp14:editId="08E62047">
            <wp:simplePos x="0" y="0"/>
            <wp:positionH relativeFrom="column">
              <wp:posOffset>0</wp:posOffset>
            </wp:positionH>
            <wp:positionV relativeFrom="paragraph">
              <wp:posOffset>-635</wp:posOffset>
            </wp:positionV>
            <wp:extent cx="6129020" cy="6129020"/>
            <wp:effectExtent l="0" t="0" r="0" b="0"/>
            <wp:wrapNone/>
            <wp:docPr id="480088401" name="Picture 48008840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Pr="00E64CE3">
        <w:t xml:space="preserve">and the number of hotels in each. The comparison is used to see the magnitude of the difference in potential revenue generated between regencies and municipalities. </w:t>
      </w:r>
    </w:p>
    <w:p w14:paraId="03080A5F" w14:textId="66829775" w:rsidR="00E64CE3" w:rsidRDefault="00E64CE3" w:rsidP="007458BA">
      <w:r w:rsidRPr="00E64CE3">
        <w:t xml:space="preserve">Based on the data in the PAD revenue comparison table between regencies and adjoining municipalities, there is a significant difference in the ratio of hotel tax to total revenue between them. According to the data, most districts, except Bogor Regency, have a hotel tax contribution below 0.5%. Conversely, city areas typically have significantly higher hotel tax revenue ratios than adjoining regencies. Notably, no municipalities </w:t>
      </w:r>
      <w:proofErr w:type="gramStart"/>
      <w:r w:rsidRPr="00E64CE3">
        <w:t>has</w:t>
      </w:r>
      <w:proofErr w:type="gramEnd"/>
      <w:r w:rsidRPr="00E64CE3">
        <w:t xml:space="preserve"> a hotel tax contribution below 0.75%. </w:t>
      </w:r>
    </w:p>
    <w:p w14:paraId="40E1965A" w14:textId="06F83E8B" w:rsidR="00E64CE3" w:rsidRDefault="00E64CE3" w:rsidP="007458BA">
      <w:r w:rsidRPr="00E64CE3">
        <w:t xml:space="preserve">A contributing factor to the low proportion of hotel tax revenue to total revenue across regencies and municipalities is the notable variation in the potential for hotel tax generated by the disparity in the number of hotels between them. The PAD revenue comparison table reveals a disparity in hotel numbers between the regency and its </w:t>
      </w:r>
      <w:proofErr w:type="spellStart"/>
      <w:r w:rsidRPr="00E64CE3">
        <w:t>neighboring</w:t>
      </w:r>
      <w:proofErr w:type="spellEnd"/>
      <w:r w:rsidRPr="00E64CE3">
        <w:t xml:space="preserve"> city. The regency exhibits a considerably lower hotel count compared to the adjacent city. Conversely, the regency surpasses the adjoining city in size when considering geographical area. Despite this, it maintains a smaller hotel count than its urban counterpart</w:t>
      </w:r>
      <w:r>
        <w:t>.</w:t>
      </w:r>
    </w:p>
    <w:p w14:paraId="7B0620C4" w14:textId="3523F750" w:rsidR="00E64CE3" w:rsidRPr="00E64CE3" w:rsidRDefault="00E64CE3" w:rsidP="007458BA">
      <w:pPr>
        <w:pStyle w:val="ListParagraph"/>
        <w:numPr>
          <w:ilvl w:val="0"/>
          <w:numId w:val="3"/>
        </w:numPr>
        <w:rPr>
          <w:b/>
          <w:bCs/>
        </w:rPr>
      </w:pPr>
      <w:r w:rsidRPr="00E64CE3">
        <w:rPr>
          <w:b/>
          <w:bCs/>
        </w:rPr>
        <w:t xml:space="preserve">Restaurant Tax </w:t>
      </w:r>
    </w:p>
    <w:p w14:paraId="316E768B" w14:textId="77777777" w:rsidR="00E64CE3" w:rsidRDefault="00E64CE3" w:rsidP="007458BA">
      <w:r w:rsidRPr="00E64CE3">
        <w:t xml:space="preserve">Restaurant tax is one of the taxes that has a positive and significant influence on local taxes (Sanjaya &amp; Wijaya, 2020). The potential for restaurant tax may be evaluated by looking at how many restaurants are in an area, as the number of restaurants positively and significantly impacts restaurant tax (Sanjaya &amp; Wijaya, 2020). Hence, the PAD revenue comparison table juxtaposes the restaurant tax value, proportion relative to total revenue, and the number of restaurants within </w:t>
      </w:r>
      <w:proofErr w:type="spellStart"/>
      <w:r w:rsidRPr="00E64CE3">
        <w:t>neighboring</w:t>
      </w:r>
      <w:proofErr w:type="spellEnd"/>
      <w:r w:rsidRPr="00E64CE3">
        <w:t xml:space="preserve"> regencies and cities. This analysis aims to discern the potential revenue disparities between regencies and municipalities. </w:t>
      </w:r>
    </w:p>
    <w:p w14:paraId="5A732E66" w14:textId="77777777" w:rsidR="00E64CE3" w:rsidRDefault="00E64CE3" w:rsidP="007458BA">
      <w:r w:rsidRPr="00E64CE3">
        <w:t xml:space="preserve">The PAD revenue comparison table data shows the value of restaurant tax contributions between adjoining regencies and cities. The data shows a significant difference between the two. The municipalities generate several times more restaurant tax revenue than the adjacent regencies. In the PAD revenue comparison table for </w:t>
      </w:r>
      <w:proofErr w:type="spellStart"/>
      <w:r w:rsidRPr="00E64CE3">
        <w:t>neighboring</w:t>
      </w:r>
      <w:proofErr w:type="spellEnd"/>
      <w:r w:rsidRPr="00E64CE3">
        <w:t xml:space="preserve"> regencies, Bogor Regency is the sole regency with a restaurant tax contribution exceeding 1%. Conversely, other districts fall below this threshold while the city’s contribution surpasses 1%. </w:t>
      </w:r>
    </w:p>
    <w:p w14:paraId="5DB1282A" w14:textId="77777777" w:rsidR="00E64CE3" w:rsidRDefault="00E64CE3" w:rsidP="007458BA">
      <w:r w:rsidRPr="00E64CE3">
        <w:t xml:space="preserve">Based on the data in the PAD revenue comparison table between adjoining municipalities and regencies, the ratio of restaurants in the regencies is smaller than in the cities. The substantial disparity in potential makes it difficult for regencies to equal the value of the city’s restaurant tax. </w:t>
      </w:r>
    </w:p>
    <w:p w14:paraId="1BC3C36B" w14:textId="402C8F14" w:rsidR="00E64CE3" w:rsidRPr="00E64CE3" w:rsidRDefault="00E64CE3" w:rsidP="007458BA">
      <w:pPr>
        <w:pStyle w:val="ListParagraph"/>
        <w:numPr>
          <w:ilvl w:val="0"/>
          <w:numId w:val="3"/>
        </w:numPr>
        <w:rPr>
          <w:b/>
          <w:bCs/>
        </w:rPr>
      </w:pPr>
      <w:r w:rsidRPr="00E64CE3">
        <w:rPr>
          <w:b/>
          <w:bCs/>
        </w:rPr>
        <w:t xml:space="preserve">PBB-P2 </w:t>
      </w:r>
    </w:p>
    <w:p w14:paraId="5A2BCD78" w14:textId="77777777" w:rsidR="00E64CE3" w:rsidRDefault="00E64CE3" w:rsidP="007458BA">
      <w:r w:rsidRPr="00E64CE3">
        <w:t>Land or buildings used by the community - excluding plantation, mining, and forestry businesses - are the tax object of the Tax Object Sale Value (NJOP), the basis for the Land and Building Tax Rural and Urban (PBB-P2) amount. Using land other than for plantation, mining, and forestry operations has a beneficial and significant influence on increasing the PBB-P2 in the region (</w:t>
      </w:r>
      <w:proofErr w:type="spellStart"/>
      <w:r w:rsidRPr="00E64CE3">
        <w:t>Sa’diyah</w:t>
      </w:r>
      <w:proofErr w:type="spellEnd"/>
      <w:r w:rsidRPr="00E64CE3">
        <w:t xml:space="preserve"> et al., 2019). The data in the PAD revenue comparison table for adjacent districts and cities demonstrates the generated PBB-P2 value, the ratio of PBB-P2 value to total revenue, and the PBB-P2 value per square kilometre of land utilized, facilitating a comprehensive understanding of local tax revenues and land usage dynamics. </w:t>
      </w:r>
    </w:p>
    <w:p w14:paraId="1DC2F479" w14:textId="5ED196C9" w:rsidR="00E64CE3" w:rsidRDefault="007458BA" w:rsidP="007458BA">
      <w:r>
        <w:rPr>
          <w:noProof/>
        </w:rPr>
        <w:lastRenderedPageBreak/>
        <w:drawing>
          <wp:anchor distT="0" distB="0" distL="114300" distR="114300" simplePos="0" relativeHeight="251680768" behindDoc="1" locked="0" layoutInCell="1" allowOverlap="0" wp14:anchorId="2992877F" wp14:editId="7564CAE1">
            <wp:simplePos x="0" y="0"/>
            <wp:positionH relativeFrom="column">
              <wp:posOffset>0</wp:posOffset>
            </wp:positionH>
            <wp:positionV relativeFrom="paragraph">
              <wp:posOffset>-635</wp:posOffset>
            </wp:positionV>
            <wp:extent cx="6129020" cy="6129020"/>
            <wp:effectExtent l="0" t="0" r="0" b="0"/>
            <wp:wrapNone/>
            <wp:docPr id="292142930" name="Picture 292142930"/>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00E64CE3" w:rsidRPr="00E64CE3">
        <w:t xml:space="preserve">The data in the table demonstrate that, despite its significant income contribution, PBB-P2 generated by regencies and municipalities in Indonesia is comparatively high compared to other regencies/ municipalities’ taxes. There is still a significant revenue gap between regencies and municipalities, with PBB-P2 revenues generated by urban areas several times higher than regencies. </w:t>
      </w:r>
    </w:p>
    <w:p w14:paraId="7218AF9E" w14:textId="1831CD96" w:rsidR="00E64CE3" w:rsidRDefault="00E64CE3" w:rsidP="007458BA">
      <w:r w:rsidRPr="00E64CE3">
        <w:t>The data in the PAD revenues comparison table showed that the value of taxes generated by regencies per 1 square kilometre is much lower than that of municipalities, even though regencies have more</w:t>
      </w:r>
      <w:r>
        <w:t xml:space="preserve"> </w:t>
      </w:r>
      <w:r w:rsidRPr="00E64CE3">
        <w:t xml:space="preserve">extensive areas. This gap is because the NJOP value in the regency is much lower than the NJOP value owned by the municipality. Research by </w:t>
      </w:r>
      <w:proofErr w:type="spellStart"/>
      <w:r w:rsidRPr="00E64CE3">
        <w:t>Tinangon</w:t>
      </w:r>
      <w:proofErr w:type="spellEnd"/>
      <w:r w:rsidRPr="00E64CE3">
        <w:t xml:space="preserve"> and Patara (</w:t>
      </w:r>
      <w:proofErr w:type="spellStart"/>
      <w:r w:rsidRPr="00E64CE3">
        <w:t>Tinangon</w:t>
      </w:r>
      <w:proofErr w:type="spellEnd"/>
      <w:r w:rsidRPr="00E64CE3">
        <w:t xml:space="preserve"> &amp; Patara, 2016) showed a necessity to review the NJOP in South </w:t>
      </w:r>
      <w:proofErr w:type="spellStart"/>
      <w:r w:rsidRPr="00E64CE3">
        <w:t>Minahasa</w:t>
      </w:r>
      <w:proofErr w:type="spellEnd"/>
      <w:r w:rsidRPr="00E64CE3">
        <w:t xml:space="preserve"> Regency to increase PAD.</w:t>
      </w:r>
    </w:p>
    <w:p w14:paraId="7C142AD0" w14:textId="6D1496D7" w:rsidR="00E64CE3" w:rsidRDefault="00E64CE3" w:rsidP="007458BA">
      <w:r w:rsidRPr="00E64CE3">
        <w:t xml:space="preserve">The district’s land use differs from the city’s, contributing to its low PBB-P2. According to BPS data, agriculture is the primary income source for the </w:t>
      </w:r>
      <w:proofErr w:type="spellStart"/>
      <w:r w:rsidRPr="00E64CE3">
        <w:t>regencies’s</w:t>
      </w:r>
      <w:proofErr w:type="spellEnd"/>
      <w:r w:rsidRPr="00E64CE3">
        <w:t xml:space="preserve"> population. On the other hand, most residents of city areas have livelihoods in industry and tourism. This difference makes most of the land in the regency unable to be taxed by the regency government because the tax is under the authority of the central government through the Land and Building Tax - Plantations, Forestry, and Mining (PBB-P3).</w:t>
      </w:r>
    </w:p>
    <w:p w14:paraId="3E6D442F" w14:textId="2A89B637" w:rsidR="00E64CE3" w:rsidRDefault="00E64CE3" w:rsidP="007458BA">
      <w:pPr>
        <w:pStyle w:val="ListParagraph"/>
        <w:numPr>
          <w:ilvl w:val="0"/>
          <w:numId w:val="2"/>
        </w:numPr>
      </w:pPr>
      <w:r w:rsidRPr="00E64CE3">
        <w:rPr>
          <w:b/>
          <w:bCs/>
        </w:rPr>
        <w:t xml:space="preserve">Retribution </w:t>
      </w:r>
    </w:p>
    <w:p w14:paraId="50334130" w14:textId="77777777" w:rsidR="00E64CE3" w:rsidRDefault="00E64CE3" w:rsidP="007458BA">
      <w:pPr>
        <w:ind w:firstLine="360"/>
      </w:pPr>
      <w:r w:rsidRPr="00E64CE3">
        <w:t>Retribution is levied based on specific services or licenses the government provides to the public or certain legal entities. The advantage of retribution levied by regencies and cities is that they have more objects and subjects of retribution, as listed in Table 9. The range of items and individuals subject to fees significantly influences the revenue options available to both regencies and cities. This empowers them to tap into various regional revenue sources, such as vehicle parking</w:t>
      </w:r>
      <w:r>
        <w:t>.</w:t>
      </w:r>
    </w:p>
    <w:p w14:paraId="5958A8E0" w14:textId="77777777" w:rsidR="00E64CE3" w:rsidRDefault="00E64CE3" w:rsidP="007458BA">
      <w:pPr>
        <w:pStyle w:val="Caption"/>
        <w:keepNext/>
        <w:spacing w:after="0"/>
        <w:rPr>
          <w:lang w:val="it-IT"/>
        </w:rPr>
      </w:pPr>
      <w:r w:rsidRPr="00E36C66">
        <w:rPr>
          <w:lang w:val="it-IT"/>
        </w:rPr>
        <w:t>Table</w:t>
      </w:r>
      <w:r w:rsidRPr="002664C0">
        <w:rPr>
          <w:lang w:val="it-IT"/>
        </w:rPr>
        <w:t xml:space="preserve"> </w:t>
      </w:r>
      <w:r>
        <w:fldChar w:fldCharType="begin"/>
      </w:r>
      <w:r w:rsidRPr="002664C0">
        <w:rPr>
          <w:lang w:val="it-IT"/>
        </w:rPr>
        <w:instrText xml:space="preserve"> SEQ Table \* ARABIC </w:instrText>
      </w:r>
      <w:r>
        <w:fldChar w:fldCharType="separate"/>
      </w:r>
      <w:r>
        <w:rPr>
          <w:noProof/>
          <w:lang w:val="it-IT"/>
        </w:rPr>
        <w:t>9</w:t>
      </w:r>
      <w:r>
        <w:fldChar w:fldCharType="end"/>
      </w:r>
      <w:r w:rsidRPr="002664C0">
        <w:rPr>
          <w:lang w:val="it-IT"/>
        </w:rPr>
        <w:t xml:space="preserve"> </w:t>
      </w:r>
      <w:r w:rsidRPr="00FE423E">
        <w:rPr>
          <w:lang w:val="it-IT"/>
        </w:rPr>
        <w:t xml:space="preserve">Comparison of the Ratio of </w:t>
      </w:r>
      <w:r>
        <w:rPr>
          <w:lang w:val="it-IT"/>
        </w:rPr>
        <w:t>Retribution</w:t>
      </w:r>
      <w:r w:rsidRPr="00FE423E">
        <w:rPr>
          <w:lang w:val="it-IT"/>
        </w:rPr>
        <w:t xml:space="preserve"> Revenue to Total Revenue at the Regional Government Level</w:t>
      </w:r>
      <w:r>
        <w:rPr>
          <w:lang w:val="it-IT"/>
        </w:rPr>
        <w:t xml:space="preserve"> </w:t>
      </w:r>
    </w:p>
    <w:p w14:paraId="39537C6E" w14:textId="77777777" w:rsidR="00E64CE3" w:rsidRPr="001A77AE" w:rsidRDefault="00E64CE3" w:rsidP="007458BA">
      <w:pPr>
        <w:rPr>
          <w:lang w:val="it-IT"/>
        </w:rPr>
      </w:pPr>
    </w:p>
    <w:tbl>
      <w:tblPr>
        <w:tblStyle w:val="PlainTable4"/>
        <w:tblW w:w="5000" w:type="pct"/>
        <w:tblBorders>
          <w:insideH w:val="single" w:sz="4" w:space="0" w:color="auto"/>
        </w:tblBorders>
        <w:tblLook w:val="04A0" w:firstRow="1" w:lastRow="0" w:firstColumn="1" w:lastColumn="0" w:noHBand="0" w:noVBand="1"/>
      </w:tblPr>
      <w:tblGrid>
        <w:gridCol w:w="4991"/>
        <w:gridCol w:w="4704"/>
      </w:tblGrid>
      <w:tr w:rsidR="00E64CE3" w:rsidRPr="002664C0" w14:paraId="46D0FC9D" w14:textId="77777777" w:rsidTr="00324C2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4" w:type="pct"/>
            <w:noWrap/>
            <w:hideMark/>
          </w:tcPr>
          <w:p w14:paraId="52D966BF" w14:textId="77777777" w:rsidR="00E64CE3" w:rsidRPr="002664C0" w:rsidRDefault="00E64CE3" w:rsidP="007458BA">
            <w:pPr>
              <w:rPr>
                <w:b w:val="0"/>
                <w:bCs w:val="0"/>
                <w:sz w:val="18"/>
                <w:szCs w:val="18"/>
              </w:rPr>
            </w:pPr>
            <w:r>
              <w:rPr>
                <w:sz w:val="18"/>
                <w:szCs w:val="18"/>
              </w:rPr>
              <w:t>Level of Governments</w:t>
            </w:r>
          </w:p>
        </w:tc>
        <w:tc>
          <w:tcPr>
            <w:tcW w:w="2426" w:type="pct"/>
            <w:noWrap/>
            <w:hideMark/>
          </w:tcPr>
          <w:p w14:paraId="79477E9B" w14:textId="77777777" w:rsidR="00E64CE3" w:rsidRPr="002664C0" w:rsidRDefault="00E64CE3" w:rsidP="007458BA">
            <w:pP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Perc. of Retribution</w:t>
            </w:r>
            <w:r w:rsidRPr="002664C0">
              <w:rPr>
                <w:sz w:val="18"/>
                <w:szCs w:val="18"/>
              </w:rPr>
              <w:t xml:space="preserve"> </w:t>
            </w:r>
          </w:p>
        </w:tc>
      </w:tr>
      <w:tr w:rsidR="00E64CE3" w:rsidRPr="002664C0" w14:paraId="5367B581" w14:textId="77777777" w:rsidTr="00324C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4" w:type="pct"/>
            <w:noWrap/>
            <w:hideMark/>
          </w:tcPr>
          <w:p w14:paraId="5A77FA0F" w14:textId="77777777" w:rsidR="00E64CE3" w:rsidRPr="006268BD" w:rsidRDefault="00E64CE3" w:rsidP="007458BA">
            <w:pPr>
              <w:rPr>
                <w:b w:val="0"/>
                <w:bCs w:val="0"/>
                <w:sz w:val="18"/>
                <w:szCs w:val="18"/>
              </w:rPr>
            </w:pPr>
            <w:r w:rsidRPr="006268BD">
              <w:rPr>
                <w:b w:val="0"/>
                <w:bCs w:val="0"/>
                <w:sz w:val="18"/>
                <w:szCs w:val="18"/>
              </w:rPr>
              <w:t>Local Government</w:t>
            </w:r>
          </w:p>
        </w:tc>
        <w:tc>
          <w:tcPr>
            <w:tcW w:w="2426" w:type="pct"/>
            <w:noWrap/>
            <w:hideMark/>
          </w:tcPr>
          <w:p w14:paraId="47C10849" w14:textId="77777777" w:rsidR="00E64CE3" w:rsidRPr="002664C0" w:rsidRDefault="00E64CE3" w:rsidP="007458BA">
            <w:pPr>
              <w:cnfStyle w:val="000000100000" w:firstRow="0" w:lastRow="0" w:firstColumn="0" w:lastColumn="0" w:oddVBand="0" w:evenVBand="0" w:oddHBand="1" w:evenHBand="0" w:firstRowFirstColumn="0" w:firstRowLastColumn="0" w:lastRowFirstColumn="0" w:lastRowLastColumn="0"/>
              <w:rPr>
                <w:sz w:val="18"/>
                <w:szCs w:val="18"/>
              </w:rPr>
            </w:pPr>
            <w:r w:rsidRPr="002664C0">
              <w:rPr>
                <w:sz w:val="18"/>
                <w:szCs w:val="18"/>
              </w:rPr>
              <w:t>1.02%</w:t>
            </w:r>
          </w:p>
        </w:tc>
      </w:tr>
      <w:tr w:rsidR="00E64CE3" w:rsidRPr="002664C0" w14:paraId="56E4BFEA" w14:textId="77777777" w:rsidTr="00324C29">
        <w:trPr>
          <w:trHeight w:val="290"/>
        </w:trPr>
        <w:tc>
          <w:tcPr>
            <w:cnfStyle w:val="001000000000" w:firstRow="0" w:lastRow="0" w:firstColumn="1" w:lastColumn="0" w:oddVBand="0" w:evenVBand="0" w:oddHBand="0" w:evenHBand="0" w:firstRowFirstColumn="0" w:firstRowLastColumn="0" w:lastRowFirstColumn="0" w:lastRowLastColumn="0"/>
            <w:tcW w:w="2574" w:type="pct"/>
            <w:noWrap/>
            <w:hideMark/>
          </w:tcPr>
          <w:p w14:paraId="4CAAFFA9" w14:textId="77777777" w:rsidR="00E64CE3" w:rsidRPr="006268BD" w:rsidRDefault="00E64CE3" w:rsidP="007458BA">
            <w:pPr>
              <w:rPr>
                <w:b w:val="0"/>
                <w:bCs w:val="0"/>
                <w:sz w:val="18"/>
                <w:szCs w:val="18"/>
              </w:rPr>
            </w:pPr>
            <w:r w:rsidRPr="006268BD">
              <w:rPr>
                <w:b w:val="0"/>
                <w:bCs w:val="0"/>
                <w:sz w:val="18"/>
                <w:szCs w:val="18"/>
              </w:rPr>
              <w:t>Provincial Government</w:t>
            </w:r>
          </w:p>
        </w:tc>
        <w:tc>
          <w:tcPr>
            <w:tcW w:w="2426" w:type="pct"/>
            <w:noWrap/>
            <w:hideMark/>
          </w:tcPr>
          <w:p w14:paraId="571EE284" w14:textId="77777777" w:rsidR="00E64CE3" w:rsidRPr="002664C0" w:rsidRDefault="00E64CE3" w:rsidP="007458BA">
            <w:pPr>
              <w:cnfStyle w:val="000000000000" w:firstRow="0" w:lastRow="0" w:firstColumn="0" w:lastColumn="0" w:oddVBand="0" w:evenVBand="0" w:oddHBand="0" w:evenHBand="0" w:firstRowFirstColumn="0" w:firstRowLastColumn="0" w:lastRowFirstColumn="0" w:lastRowLastColumn="0"/>
              <w:rPr>
                <w:sz w:val="18"/>
                <w:szCs w:val="18"/>
              </w:rPr>
            </w:pPr>
            <w:r w:rsidRPr="002664C0">
              <w:rPr>
                <w:sz w:val="18"/>
                <w:szCs w:val="18"/>
              </w:rPr>
              <w:t>0.52%</w:t>
            </w:r>
          </w:p>
        </w:tc>
      </w:tr>
      <w:tr w:rsidR="00E64CE3" w:rsidRPr="002664C0" w14:paraId="3D11B9B8" w14:textId="77777777" w:rsidTr="00324C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4" w:type="pct"/>
            <w:noWrap/>
            <w:hideMark/>
          </w:tcPr>
          <w:p w14:paraId="20A3454F" w14:textId="77777777" w:rsidR="00E64CE3" w:rsidRPr="006268BD" w:rsidRDefault="00E64CE3" w:rsidP="007458BA">
            <w:pPr>
              <w:rPr>
                <w:b w:val="0"/>
                <w:bCs w:val="0"/>
                <w:sz w:val="18"/>
                <w:szCs w:val="18"/>
              </w:rPr>
            </w:pPr>
            <w:r w:rsidRPr="006268BD">
              <w:rPr>
                <w:b w:val="0"/>
                <w:bCs w:val="0"/>
                <w:sz w:val="18"/>
                <w:szCs w:val="18"/>
              </w:rPr>
              <w:t>Regency Government</w:t>
            </w:r>
          </w:p>
        </w:tc>
        <w:tc>
          <w:tcPr>
            <w:tcW w:w="2426" w:type="pct"/>
            <w:noWrap/>
            <w:hideMark/>
          </w:tcPr>
          <w:p w14:paraId="32A69E40" w14:textId="77777777" w:rsidR="00E64CE3" w:rsidRPr="002664C0" w:rsidRDefault="00E64CE3" w:rsidP="007458BA">
            <w:pPr>
              <w:cnfStyle w:val="000000100000" w:firstRow="0" w:lastRow="0" w:firstColumn="0" w:lastColumn="0" w:oddVBand="0" w:evenVBand="0" w:oddHBand="1" w:evenHBand="0" w:firstRowFirstColumn="0" w:firstRowLastColumn="0" w:lastRowFirstColumn="0" w:lastRowLastColumn="0"/>
              <w:rPr>
                <w:sz w:val="18"/>
                <w:szCs w:val="18"/>
              </w:rPr>
            </w:pPr>
            <w:r w:rsidRPr="002664C0">
              <w:rPr>
                <w:sz w:val="18"/>
                <w:szCs w:val="18"/>
              </w:rPr>
              <w:t>1,00%</w:t>
            </w:r>
          </w:p>
        </w:tc>
      </w:tr>
      <w:tr w:rsidR="00E64CE3" w:rsidRPr="002664C0" w14:paraId="46AA97A4" w14:textId="77777777" w:rsidTr="00324C29">
        <w:trPr>
          <w:trHeight w:val="290"/>
        </w:trPr>
        <w:tc>
          <w:tcPr>
            <w:cnfStyle w:val="001000000000" w:firstRow="0" w:lastRow="0" w:firstColumn="1" w:lastColumn="0" w:oddVBand="0" w:evenVBand="0" w:oddHBand="0" w:evenHBand="0" w:firstRowFirstColumn="0" w:firstRowLastColumn="0" w:lastRowFirstColumn="0" w:lastRowLastColumn="0"/>
            <w:tcW w:w="2574" w:type="pct"/>
            <w:noWrap/>
            <w:hideMark/>
          </w:tcPr>
          <w:p w14:paraId="6C0E91B8" w14:textId="77777777" w:rsidR="00E64CE3" w:rsidRPr="006268BD" w:rsidRDefault="00E64CE3" w:rsidP="007458BA">
            <w:pPr>
              <w:rPr>
                <w:b w:val="0"/>
                <w:bCs w:val="0"/>
                <w:sz w:val="18"/>
                <w:szCs w:val="18"/>
              </w:rPr>
            </w:pPr>
            <w:r w:rsidRPr="006268BD">
              <w:rPr>
                <w:b w:val="0"/>
                <w:bCs w:val="0"/>
                <w:sz w:val="18"/>
                <w:szCs w:val="18"/>
              </w:rPr>
              <w:t>Municipality Government</w:t>
            </w:r>
          </w:p>
        </w:tc>
        <w:tc>
          <w:tcPr>
            <w:tcW w:w="2426" w:type="pct"/>
            <w:noWrap/>
            <w:hideMark/>
          </w:tcPr>
          <w:p w14:paraId="05F943CC" w14:textId="77777777" w:rsidR="00E64CE3" w:rsidRPr="002664C0" w:rsidRDefault="00E64CE3" w:rsidP="007458BA">
            <w:pPr>
              <w:cnfStyle w:val="000000000000" w:firstRow="0" w:lastRow="0" w:firstColumn="0" w:lastColumn="0" w:oddVBand="0" w:evenVBand="0" w:oddHBand="0" w:evenHBand="0" w:firstRowFirstColumn="0" w:firstRowLastColumn="0" w:lastRowFirstColumn="0" w:lastRowLastColumn="0"/>
              <w:rPr>
                <w:sz w:val="18"/>
                <w:szCs w:val="18"/>
              </w:rPr>
            </w:pPr>
            <w:r w:rsidRPr="002664C0">
              <w:rPr>
                <w:sz w:val="18"/>
                <w:szCs w:val="18"/>
              </w:rPr>
              <w:t>2.20%</w:t>
            </w:r>
          </w:p>
        </w:tc>
      </w:tr>
    </w:tbl>
    <w:p w14:paraId="2F82F27D" w14:textId="77777777" w:rsidR="00E64CE3" w:rsidRDefault="00E64CE3" w:rsidP="007458BA">
      <w:pPr>
        <w:ind w:firstLine="360"/>
      </w:pPr>
      <w:r>
        <w:t xml:space="preserve"> </w:t>
      </w:r>
      <w:r w:rsidRPr="00E64CE3">
        <w:t xml:space="preserve">Despite having a more significant number of objects and subjects, regencies and municipalities could contribute much more. The difference in the contribution value of retribution between regencies and municipalities is not too significant compared to the contribution value generated by provinces, as shown in Table 9. </w:t>
      </w:r>
    </w:p>
    <w:p w14:paraId="339D99D4" w14:textId="4D9D7A87" w:rsidR="00E64CE3" w:rsidRDefault="00E64CE3" w:rsidP="007458BA">
      <w:pPr>
        <w:ind w:firstLine="360"/>
      </w:pPr>
      <w:r w:rsidRPr="00E64CE3">
        <w:t>Based on the data in Table 9, the contribution value generated by regencies is smaller than that of cities. The difference in value is because, in local retribution, the local government has the authority to levy or not. Both the government and the private sector have the potential to levy retribution because it is a form of quasi-public goods (</w:t>
      </w:r>
      <w:proofErr w:type="spellStart"/>
      <w:r w:rsidRPr="00E64CE3">
        <w:t>Mcconnell</w:t>
      </w:r>
      <w:proofErr w:type="spellEnd"/>
      <w:r w:rsidRPr="00E64CE3">
        <w:t xml:space="preserve"> et al., 2012). The government can assign the levy object to the private sector</w:t>
      </w:r>
      <w:r>
        <w:t>.</w:t>
      </w:r>
    </w:p>
    <w:p w14:paraId="0A613423" w14:textId="4E19CA47" w:rsidR="00E64CE3" w:rsidRPr="00E64CE3" w:rsidRDefault="00E64CE3" w:rsidP="007458BA">
      <w:pPr>
        <w:pStyle w:val="ListParagraph"/>
        <w:numPr>
          <w:ilvl w:val="0"/>
          <w:numId w:val="4"/>
        </w:numPr>
        <w:rPr>
          <w:b/>
          <w:bCs/>
        </w:rPr>
      </w:pPr>
      <w:r w:rsidRPr="00E64CE3">
        <w:rPr>
          <w:b/>
          <w:bCs/>
        </w:rPr>
        <w:t xml:space="preserve">Waste management and Cleaning Services </w:t>
      </w:r>
    </w:p>
    <w:p w14:paraId="7C9D6B71" w14:textId="5C5E0513" w:rsidR="000C7747" w:rsidRDefault="00E64CE3" w:rsidP="007458BA">
      <w:r w:rsidRPr="00E64CE3">
        <w:t xml:space="preserve">The cleaning services retribution applies to both industries and homes. The population and number of industries both determine the value of this retribution. Research conducted by Tamin and </w:t>
      </w:r>
      <w:proofErr w:type="spellStart"/>
      <w:r w:rsidRPr="00E64CE3">
        <w:t>Syafitri</w:t>
      </w:r>
      <w:proofErr w:type="spellEnd"/>
      <w:r w:rsidRPr="00E64CE3">
        <w:t xml:space="preserve"> (2022) showed that the population has a positive and significant effect, while the number of </w:t>
      </w:r>
      <w:r w:rsidR="007458BA">
        <w:rPr>
          <w:noProof/>
        </w:rPr>
        <w:lastRenderedPageBreak/>
        <w:drawing>
          <wp:anchor distT="0" distB="0" distL="114300" distR="114300" simplePos="0" relativeHeight="251682816" behindDoc="1" locked="0" layoutInCell="1" allowOverlap="0" wp14:anchorId="1DF5943A" wp14:editId="7144453E">
            <wp:simplePos x="0" y="0"/>
            <wp:positionH relativeFrom="column">
              <wp:posOffset>0</wp:posOffset>
            </wp:positionH>
            <wp:positionV relativeFrom="paragraph">
              <wp:posOffset>-635</wp:posOffset>
            </wp:positionV>
            <wp:extent cx="6129020" cy="6129020"/>
            <wp:effectExtent l="0" t="0" r="0" b="0"/>
            <wp:wrapNone/>
            <wp:docPr id="561790240" name="Picture 561790240"/>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Pr="00E64CE3">
        <w:t xml:space="preserve">industries </w:t>
      </w:r>
      <w:proofErr w:type="gramStart"/>
      <w:r w:rsidRPr="00E64CE3">
        <w:t>has</w:t>
      </w:r>
      <w:proofErr w:type="gramEnd"/>
      <w:r w:rsidRPr="00E64CE3">
        <w:t xml:space="preserve"> a negative and insignificant effect. In other words, this retribution is more burdensome to the services provided to the community.</w:t>
      </w:r>
    </w:p>
    <w:p w14:paraId="4A928ABD" w14:textId="77777777" w:rsidR="000C7747" w:rsidRDefault="00E64CE3" w:rsidP="007458BA">
      <w:r w:rsidRPr="00E64CE3">
        <w:t xml:space="preserve"> The data in the PAD revenue comparison table showed that the contribution value of retribution for cleaning and solid waste services in regencies and cities is relatively low. Moreover, the contribution value of regions is smaller than that of municipalities. Even though municipalities generate a higher contribution value, it is relatively insignificant, with just two cities exceeding 1% in the data. </w:t>
      </w:r>
    </w:p>
    <w:p w14:paraId="1ADBA704" w14:textId="3E2FCB2E" w:rsidR="00E64CE3" w:rsidRDefault="00E64CE3" w:rsidP="007458BA">
      <w:r w:rsidRPr="00E64CE3">
        <w:t>The size of a region’s residential areas and business operations defines the retribution contribution value for cleaning and solid waste services in regencies and cities. The values generated by adjoining regencies and cities are similar. However, compared to the size of the area, the difference in revenue worth per square kilometre appears to be reasonably unequal, as the municipalities contain various residential and commercial districts. Therefore, municipalities have more significant potential than regencies.</w:t>
      </w:r>
    </w:p>
    <w:p w14:paraId="09CA57D0" w14:textId="329772FF" w:rsidR="000C7747" w:rsidRPr="000C7747" w:rsidRDefault="000C7747" w:rsidP="007458BA">
      <w:pPr>
        <w:pStyle w:val="ListParagraph"/>
        <w:numPr>
          <w:ilvl w:val="0"/>
          <w:numId w:val="2"/>
        </w:numPr>
        <w:rPr>
          <w:b/>
          <w:bCs/>
        </w:rPr>
      </w:pPr>
      <w:r w:rsidRPr="000C7747">
        <w:rPr>
          <w:b/>
          <w:bCs/>
        </w:rPr>
        <w:t xml:space="preserve">Other Legitimate Local Own-Source Revenues </w:t>
      </w:r>
    </w:p>
    <w:p w14:paraId="47260656" w14:textId="3F85C459" w:rsidR="000C7747" w:rsidRDefault="000C7747" w:rsidP="007458BA">
      <w:pPr>
        <w:ind w:firstLine="360"/>
      </w:pPr>
      <w:r w:rsidRPr="000C7747">
        <w:t>Other Legitimate PAD is one of the potential PADs mentioned in the legislation. It includes the management of Regional Property (BMD) controlled by the region. The percentage of Others Legitimate PAD have a fairly large contribution value, as shown in Table 10.</w:t>
      </w:r>
    </w:p>
    <w:p w14:paraId="6B6278F9" w14:textId="77777777" w:rsidR="000C7747" w:rsidRDefault="000C7747" w:rsidP="007458BA">
      <w:pPr>
        <w:pStyle w:val="Caption"/>
        <w:keepNext/>
        <w:spacing w:after="0"/>
        <w:jc w:val="both"/>
      </w:pPr>
      <w:r w:rsidRPr="002E4C9F">
        <w:t>Table</w:t>
      </w:r>
      <w:r w:rsidRPr="001A77AE">
        <w:rPr>
          <w:color w:val="FF0000"/>
        </w:rPr>
        <w:t xml:space="preserve"> </w:t>
      </w:r>
      <w:r>
        <w:fldChar w:fldCharType="begin"/>
      </w:r>
      <w:r>
        <w:instrText xml:space="preserve"> SEQ Table \* ARABIC </w:instrText>
      </w:r>
      <w:r>
        <w:fldChar w:fldCharType="separate"/>
      </w:r>
      <w:r>
        <w:rPr>
          <w:noProof/>
        </w:rPr>
        <w:t>10</w:t>
      </w:r>
      <w:r>
        <w:rPr>
          <w:noProof/>
        </w:rPr>
        <w:fldChar w:fldCharType="end"/>
      </w:r>
      <w:r>
        <w:t xml:space="preserve"> </w:t>
      </w:r>
      <w:r w:rsidRPr="00AC3A25">
        <w:t>Comparison of Total Other</w:t>
      </w:r>
      <w:r>
        <w:t>s</w:t>
      </w:r>
      <w:r w:rsidRPr="00AC3A25">
        <w:t xml:space="preserve"> Legitimate PAD Revenues at the Regional Government Level</w:t>
      </w:r>
      <w:r>
        <w:t xml:space="preserve"> </w:t>
      </w:r>
    </w:p>
    <w:p w14:paraId="3BC7E8E2" w14:textId="77777777" w:rsidR="000C7747" w:rsidRPr="001A77AE" w:rsidRDefault="000C7747" w:rsidP="007458BA"/>
    <w:tbl>
      <w:tblPr>
        <w:tblStyle w:val="PlainTable4"/>
        <w:tblW w:w="5000" w:type="pct"/>
        <w:tblBorders>
          <w:insideH w:val="single" w:sz="4" w:space="0" w:color="auto"/>
        </w:tblBorders>
        <w:tblLook w:val="04A0" w:firstRow="1" w:lastRow="0" w:firstColumn="1" w:lastColumn="0" w:noHBand="0" w:noVBand="1"/>
      </w:tblPr>
      <w:tblGrid>
        <w:gridCol w:w="5408"/>
        <w:gridCol w:w="4287"/>
      </w:tblGrid>
      <w:tr w:rsidR="000C7747" w:rsidRPr="009C72C3" w14:paraId="394625ED" w14:textId="77777777" w:rsidTr="00324C2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9" w:type="pct"/>
            <w:noWrap/>
            <w:vAlign w:val="center"/>
            <w:hideMark/>
          </w:tcPr>
          <w:p w14:paraId="7F3E0CD3" w14:textId="77777777" w:rsidR="000C7747" w:rsidRPr="006268BD" w:rsidRDefault="000C7747" w:rsidP="007458BA">
            <w:pPr>
              <w:pStyle w:val="ListParagraph"/>
              <w:ind w:left="360"/>
              <w:rPr>
                <w:rFonts w:ascii="Times New Roman" w:hAnsi="Times New Roman" w:cs="Times New Roman"/>
                <w:b w:val="0"/>
                <w:bCs w:val="0"/>
                <w:sz w:val="18"/>
                <w:szCs w:val="18"/>
              </w:rPr>
            </w:pPr>
            <w:r w:rsidRPr="006268BD">
              <w:rPr>
                <w:rFonts w:ascii="Times New Roman" w:hAnsi="Times New Roman" w:cs="Times New Roman"/>
                <w:sz w:val="18"/>
                <w:szCs w:val="18"/>
              </w:rPr>
              <w:t xml:space="preserve">Level of Governments </w:t>
            </w:r>
          </w:p>
        </w:tc>
        <w:tc>
          <w:tcPr>
            <w:tcW w:w="2211" w:type="pct"/>
            <w:noWrap/>
            <w:vAlign w:val="center"/>
            <w:hideMark/>
          </w:tcPr>
          <w:p w14:paraId="0A7EFBFB" w14:textId="77777777" w:rsidR="000C7747" w:rsidRPr="006268BD" w:rsidRDefault="000C7747" w:rsidP="007458BA">
            <w:pPr>
              <w:pStyle w:val="ListParagraph"/>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6268BD">
              <w:rPr>
                <w:rFonts w:ascii="Times New Roman" w:hAnsi="Times New Roman" w:cs="Times New Roman"/>
                <w:sz w:val="18"/>
                <w:szCs w:val="18"/>
              </w:rPr>
              <w:t>Perc. of Others</w:t>
            </w:r>
          </w:p>
          <w:p w14:paraId="44959371" w14:textId="77777777" w:rsidR="000C7747" w:rsidRPr="006268BD" w:rsidRDefault="000C7747" w:rsidP="007458BA">
            <w:pPr>
              <w:pStyle w:val="ListParagraph"/>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6268BD">
              <w:rPr>
                <w:rFonts w:ascii="Times New Roman" w:hAnsi="Times New Roman" w:cs="Times New Roman"/>
                <w:sz w:val="18"/>
                <w:szCs w:val="18"/>
              </w:rPr>
              <w:t>Legitimate PAD</w:t>
            </w:r>
          </w:p>
        </w:tc>
      </w:tr>
      <w:tr w:rsidR="000C7747" w:rsidRPr="009C72C3" w14:paraId="3C3CA016" w14:textId="77777777" w:rsidTr="00324C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5329C0B3" w14:textId="77777777" w:rsidR="000C7747" w:rsidRPr="006268BD" w:rsidRDefault="000C7747" w:rsidP="007458BA">
            <w:pPr>
              <w:pStyle w:val="ListParagraph"/>
              <w:ind w:left="360"/>
              <w:jc w:val="both"/>
              <w:rPr>
                <w:rFonts w:ascii="Times New Roman" w:hAnsi="Times New Roman" w:cs="Times New Roman"/>
                <w:b w:val="0"/>
                <w:bCs w:val="0"/>
                <w:sz w:val="18"/>
                <w:szCs w:val="18"/>
              </w:rPr>
            </w:pPr>
            <w:r w:rsidRPr="006268BD">
              <w:rPr>
                <w:rFonts w:ascii="Times New Roman" w:hAnsi="Times New Roman" w:cs="Times New Roman"/>
                <w:b w:val="0"/>
                <w:bCs w:val="0"/>
                <w:sz w:val="18"/>
                <w:szCs w:val="18"/>
              </w:rPr>
              <w:t>Local Government</w:t>
            </w:r>
          </w:p>
        </w:tc>
        <w:tc>
          <w:tcPr>
            <w:tcW w:w="2211" w:type="pct"/>
            <w:noWrap/>
            <w:hideMark/>
          </w:tcPr>
          <w:p w14:paraId="03D2776F" w14:textId="77777777" w:rsidR="000C7747" w:rsidRPr="006268BD" w:rsidRDefault="000C7747" w:rsidP="007458B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268BD">
              <w:rPr>
                <w:rFonts w:ascii="Times New Roman" w:hAnsi="Times New Roman" w:cs="Times New Roman"/>
                <w:sz w:val="18"/>
                <w:szCs w:val="18"/>
              </w:rPr>
              <w:t>7,30%</w:t>
            </w:r>
          </w:p>
        </w:tc>
      </w:tr>
      <w:tr w:rsidR="000C7747" w:rsidRPr="009C72C3" w14:paraId="6A43210B" w14:textId="77777777" w:rsidTr="00324C29">
        <w:trPr>
          <w:trHeight w:val="29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7CD63FC2" w14:textId="77777777" w:rsidR="000C7747" w:rsidRPr="006268BD" w:rsidRDefault="000C7747" w:rsidP="007458BA">
            <w:pPr>
              <w:pStyle w:val="ListParagraph"/>
              <w:ind w:left="360"/>
              <w:jc w:val="both"/>
              <w:rPr>
                <w:rFonts w:ascii="Times New Roman" w:hAnsi="Times New Roman" w:cs="Times New Roman"/>
                <w:b w:val="0"/>
                <w:bCs w:val="0"/>
                <w:sz w:val="18"/>
                <w:szCs w:val="18"/>
              </w:rPr>
            </w:pPr>
            <w:r w:rsidRPr="006268BD">
              <w:rPr>
                <w:rFonts w:ascii="Times New Roman" w:hAnsi="Times New Roman" w:cs="Times New Roman"/>
                <w:b w:val="0"/>
                <w:bCs w:val="0"/>
                <w:sz w:val="18"/>
                <w:szCs w:val="18"/>
              </w:rPr>
              <w:t>Provincial Government</w:t>
            </w:r>
          </w:p>
        </w:tc>
        <w:tc>
          <w:tcPr>
            <w:tcW w:w="2211" w:type="pct"/>
            <w:noWrap/>
            <w:hideMark/>
          </w:tcPr>
          <w:p w14:paraId="4258F887" w14:textId="77777777" w:rsidR="000C7747" w:rsidRPr="006268BD" w:rsidRDefault="000C7747" w:rsidP="007458BA">
            <w:pPr>
              <w:pStyle w:val="ListParagraph"/>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268BD">
              <w:rPr>
                <w:rFonts w:ascii="Times New Roman" w:hAnsi="Times New Roman" w:cs="Times New Roman"/>
                <w:sz w:val="18"/>
                <w:szCs w:val="18"/>
              </w:rPr>
              <w:t>6,07%</w:t>
            </w:r>
          </w:p>
        </w:tc>
      </w:tr>
      <w:tr w:rsidR="000C7747" w:rsidRPr="009C72C3" w14:paraId="71BA2BF9" w14:textId="77777777" w:rsidTr="00324C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2C578035" w14:textId="77777777" w:rsidR="000C7747" w:rsidRPr="006268BD" w:rsidRDefault="000C7747" w:rsidP="007458BA">
            <w:pPr>
              <w:pStyle w:val="ListParagraph"/>
              <w:ind w:left="360"/>
              <w:jc w:val="both"/>
              <w:rPr>
                <w:rFonts w:ascii="Times New Roman" w:hAnsi="Times New Roman" w:cs="Times New Roman"/>
                <w:b w:val="0"/>
                <w:bCs w:val="0"/>
                <w:sz w:val="18"/>
                <w:szCs w:val="18"/>
              </w:rPr>
            </w:pPr>
            <w:r w:rsidRPr="006268BD">
              <w:rPr>
                <w:rFonts w:ascii="Times New Roman" w:hAnsi="Times New Roman" w:cs="Times New Roman"/>
                <w:b w:val="0"/>
                <w:bCs w:val="0"/>
                <w:sz w:val="18"/>
                <w:szCs w:val="18"/>
              </w:rPr>
              <w:t>Regency Government</w:t>
            </w:r>
          </w:p>
        </w:tc>
        <w:tc>
          <w:tcPr>
            <w:tcW w:w="2211" w:type="pct"/>
            <w:noWrap/>
            <w:hideMark/>
          </w:tcPr>
          <w:p w14:paraId="33DE4998" w14:textId="77777777" w:rsidR="000C7747" w:rsidRPr="006268BD" w:rsidRDefault="000C7747" w:rsidP="007458B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268BD">
              <w:rPr>
                <w:rFonts w:ascii="Times New Roman" w:hAnsi="Times New Roman" w:cs="Times New Roman"/>
                <w:sz w:val="18"/>
                <w:szCs w:val="18"/>
              </w:rPr>
              <w:t>7,46%</w:t>
            </w:r>
          </w:p>
        </w:tc>
      </w:tr>
      <w:tr w:rsidR="000C7747" w:rsidRPr="009C72C3" w14:paraId="137851C9" w14:textId="77777777" w:rsidTr="00324C29">
        <w:trPr>
          <w:trHeight w:val="29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0E35F4E8" w14:textId="77777777" w:rsidR="000C7747" w:rsidRPr="006268BD" w:rsidRDefault="000C7747" w:rsidP="007458BA">
            <w:pPr>
              <w:pStyle w:val="ListParagraph"/>
              <w:ind w:left="360"/>
              <w:jc w:val="both"/>
              <w:rPr>
                <w:rFonts w:ascii="Times New Roman" w:hAnsi="Times New Roman" w:cs="Times New Roman"/>
                <w:b w:val="0"/>
                <w:bCs w:val="0"/>
                <w:sz w:val="18"/>
                <w:szCs w:val="18"/>
              </w:rPr>
            </w:pPr>
            <w:r w:rsidRPr="006268BD">
              <w:rPr>
                <w:rFonts w:ascii="Times New Roman" w:hAnsi="Times New Roman" w:cs="Times New Roman"/>
                <w:b w:val="0"/>
                <w:bCs w:val="0"/>
                <w:sz w:val="18"/>
                <w:szCs w:val="18"/>
              </w:rPr>
              <w:t>Municipality Government</w:t>
            </w:r>
          </w:p>
        </w:tc>
        <w:tc>
          <w:tcPr>
            <w:tcW w:w="2211" w:type="pct"/>
            <w:noWrap/>
            <w:hideMark/>
          </w:tcPr>
          <w:p w14:paraId="47012F17" w14:textId="77777777" w:rsidR="000C7747" w:rsidRPr="006268BD" w:rsidRDefault="000C7747" w:rsidP="007458BA">
            <w:pPr>
              <w:pStyle w:val="ListParagraph"/>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268BD">
              <w:rPr>
                <w:rFonts w:ascii="Times New Roman" w:hAnsi="Times New Roman" w:cs="Times New Roman"/>
                <w:sz w:val="18"/>
                <w:szCs w:val="18"/>
              </w:rPr>
              <w:t>6,61%</w:t>
            </w:r>
          </w:p>
        </w:tc>
      </w:tr>
    </w:tbl>
    <w:p w14:paraId="575E65EA" w14:textId="77777777" w:rsidR="000C7747" w:rsidRDefault="000C7747" w:rsidP="007458BA">
      <w:pPr>
        <w:ind w:firstLine="360"/>
      </w:pPr>
      <w:r w:rsidRPr="000C7747">
        <w:t xml:space="preserve">Based on the data in Table 10, regency governments have the most significant contribution value among cities and provinces. Although the contribution value differs, it is similar. The absence of significant differences in values indicates that each local government has a potential source of PAD through Others Legitimate PAD. </w:t>
      </w:r>
    </w:p>
    <w:p w14:paraId="3CF9E5C3" w14:textId="59F04B78" w:rsidR="000C7747" w:rsidRPr="000C7747" w:rsidRDefault="000C7747" w:rsidP="007458BA">
      <w:pPr>
        <w:pStyle w:val="ListParagraph"/>
        <w:numPr>
          <w:ilvl w:val="0"/>
          <w:numId w:val="5"/>
        </w:numPr>
        <w:rPr>
          <w:b/>
          <w:bCs/>
        </w:rPr>
      </w:pPr>
      <w:r w:rsidRPr="000C7747">
        <w:rPr>
          <w:b/>
          <w:bCs/>
        </w:rPr>
        <w:t xml:space="preserve">Local Public Service Agency </w:t>
      </w:r>
    </w:p>
    <w:p w14:paraId="47985AEE" w14:textId="77777777" w:rsidR="000C7747" w:rsidRDefault="000C7747" w:rsidP="007458BA">
      <w:r w:rsidRPr="000C7747">
        <w:t>Local Public Service Agency (BLUD) is one form of Other Legitimate PAD. Local Public Service Agency is a local government working unit with</w:t>
      </w:r>
      <w:r>
        <w:t xml:space="preserve"> </w:t>
      </w:r>
      <w:r w:rsidRPr="000C7747">
        <w:t xml:space="preserve">the ability and authority to manage its finances. The PAD revenue comparison table data between adjoining municipalities and regencies shows the value generated by Local Public Service Agency and its revenue ratio to total revenue between regencies and cities. </w:t>
      </w:r>
    </w:p>
    <w:p w14:paraId="0841040D" w14:textId="251A9603" w:rsidR="000C7747" w:rsidRDefault="000C7747" w:rsidP="007458BA">
      <w:r w:rsidRPr="000C7747">
        <w:t xml:space="preserve">The PAD revenue comparison table data among adjacent municipalities and regencies indicates a similar contribution value. Specifically, the disparity in Local Public Service Agency revenue is consistent across the data. Furthermore, within Local Public Service Agency revenue among adjacent municipalities and regencies, certain regencies exhibit a superior contribution value </w:t>
      </w:r>
      <w:r w:rsidR="007458BA">
        <w:rPr>
          <w:noProof/>
        </w:rPr>
        <w:lastRenderedPageBreak/>
        <w:drawing>
          <wp:anchor distT="0" distB="0" distL="114300" distR="114300" simplePos="0" relativeHeight="251684864" behindDoc="1" locked="0" layoutInCell="1" allowOverlap="0" wp14:anchorId="07F9B248" wp14:editId="113928AF">
            <wp:simplePos x="0" y="0"/>
            <wp:positionH relativeFrom="column">
              <wp:posOffset>0</wp:posOffset>
            </wp:positionH>
            <wp:positionV relativeFrom="paragraph">
              <wp:posOffset>-635</wp:posOffset>
            </wp:positionV>
            <wp:extent cx="6129020" cy="6129020"/>
            <wp:effectExtent l="0" t="0" r="0" b="0"/>
            <wp:wrapNone/>
            <wp:docPr id="1571857914" name="Picture 1571857914"/>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Pr="000C7747">
        <w:t xml:space="preserve">compared to the municipalities, while others show the opposite trend. This observation underscores the potential of BLUD in each regency and municipality. Although Local Public Service Agency’s revenue contribution is considerable, it could have been more efficient in fulfilling regional expenditure requirements. According to legislation, BLUD can manage its revenue sources, fund itself, and contribute surplus income to the PAD. However, in practice, the revenue generated by Local Public Service Agency often falls short of covering its expenses, leading it to rely on the APBD to meet its financial needs. </w:t>
      </w:r>
    </w:p>
    <w:p w14:paraId="656EEC0C" w14:textId="3AE542D0" w:rsidR="000C7747" w:rsidRDefault="000C7747" w:rsidP="007458BA">
      <w:r w:rsidRPr="000C7747">
        <w:t>Management approaches diverge between Local Public Service Agency and Public Service Agency entities overseen by the central government. Public Service Agency encompasses diverse service sectors, including hospitals in the healthcare sector, universities in education, and airports in transportation. Conversely, BLUD comprises regional service agencies focused on the healthcare sector, such as regional hospitals. This variance in scope leads to differing revenue potentials.</w:t>
      </w:r>
    </w:p>
    <w:p w14:paraId="53E310C1" w14:textId="4CB8CE45" w:rsidR="000C7747" w:rsidRPr="000C7747" w:rsidRDefault="00000000" w:rsidP="007458BA">
      <w:pPr>
        <w:pStyle w:val="Heading3"/>
        <w:ind w:left="-3" w:right="0"/>
      </w:pPr>
      <w:r>
        <w:t xml:space="preserve">3.3. </w:t>
      </w:r>
      <w:r w:rsidR="000C7747" w:rsidRPr="000C7747">
        <w:t>PAD and Local Democracy</w:t>
      </w:r>
    </w:p>
    <w:p w14:paraId="40DB5EEB" w14:textId="77777777" w:rsidR="000C7747" w:rsidRDefault="000C7747" w:rsidP="007458BA">
      <w:pPr>
        <w:ind w:left="-11" w:right="0" w:firstLine="731"/>
      </w:pPr>
      <w:r w:rsidRPr="000C7747">
        <w:t xml:space="preserve">PAD is a crucial indicator of a local’s autonomy level. A higher PAD reflects a reduced dependency of the regional government on central government support. Enhancing PAD is fundamental to achieving regional development objectives, as it directly influences the capacity of local governments to </w:t>
      </w:r>
      <w:proofErr w:type="spellStart"/>
      <w:r w:rsidRPr="000C7747">
        <w:t>fulfill</w:t>
      </w:r>
      <w:proofErr w:type="spellEnd"/>
      <w:r w:rsidRPr="000C7747">
        <w:t xml:space="preserve"> their governmental functions, including the provision of public services and the execution of developmental initiatives. </w:t>
      </w:r>
    </w:p>
    <w:p w14:paraId="22A80DCA" w14:textId="77777777" w:rsidR="000C7747" w:rsidRDefault="000C7747" w:rsidP="007458BA">
      <w:pPr>
        <w:ind w:left="-11" w:right="0" w:firstLine="731"/>
      </w:pPr>
      <w:r w:rsidRPr="000C7747">
        <w:t xml:space="preserve">In pursuit of these objectives, regional govern </w:t>
      </w:r>
      <w:proofErr w:type="spellStart"/>
      <w:r w:rsidRPr="000C7747">
        <w:t>ments</w:t>
      </w:r>
      <w:proofErr w:type="spellEnd"/>
      <w:r w:rsidRPr="000C7747">
        <w:t xml:space="preserve"> are empowered by Law Number 28 of 2009 concerning Regional Taxes and Regional Levies, which grants them the authority to impose regional taxes and levies, manage separate regional assets, exercise discretion in setting rates according to their financial capacity, and explore other legitimate revenue sources. However, in implementing these powers, regional governments must adhere to the principles of democracy, equality, and justice, ensure community participation, and maintain accountability, all while considering the unique potential of locals respective. </w:t>
      </w:r>
    </w:p>
    <w:p w14:paraId="56DA02EF" w14:textId="77777777" w:rsidR="000C7747" w:rsidRDefault="000C7747" w:rsidP="007458BA">
      <w:pPr>
        <w:ind w:left="-11" w:right="0" w:firstLine="731"/>
      </w:pPr>
      <w:r w:rsidRPr="000C7747">
        <w:t xml:space="preserve">The disparity in Public Agency Revenue (PAD) between the two entities is attributed to the national government’s failure to address the revenue-raising capabilities of regency governments adequately. Although local taxes are diverse, only a limited number are reliable local revenue sources. The f </w:t>
      </w:r>
      <w:proofErr w:type="spellStart"/>
      <w:r w:rsidRPr="000C7747">
        <w:t>ield</w:t>
      </w:r>
      <w:proofErr w:type="spellEnd"/>
      <w:r w:rsidRPr="000C7747">
        <w:t xml:space="preserve"> of taxation is characterized by a high degree of centralization, as the central authority collects all major and most productive types of taxes, including both direct and indirect taxes. The national overpower on local fiscal will paralyze local autonomy and hamper the level of democracy at the local level. The decentralization policy is an open space for national government as </w:t>
      </w:r>
      <w:proofErr w:type="spellStart"/>
      <w:r w:rsidRPr="000C7747">
        <w:t>benelovent</w:t>
      </w:r>
      <w:proofErr w:type="spellEnd"/>
      <w:r w:rsidRPr="000C7747">
        <w:t xml:space="preserve"> agent or monolithic leviathan (Obeng, 2021). </w:t>
      </w:r>
    </w:p>
    <w:p w14:paraId="2353B537" w14:textId="2425BD40" w:rsidR="00F07020" w:rsidRDefault="000C7747" w:rsidP="007458BA">
      <w:pPr>
        <w:ind w:left="-11" w:right="0" w:firstLine="731"/>
      </w:pPr>
      <w:r w:rsidRPr="000C7747">
        <w:t>The problem of low PAD reflects a half-hearted decentralization in Indonesia. The high dependency of local governments on the national government is caused by the absence of legal regulation that specifically regulates fiscal decentralization (</w:t>
      </w:r>
      <w:proofErr w:type="spellStart"/>
      <w:r w:rsidRPr="000C7747">
        <w:t>Christia</w:t>
      </w:r>
      <w:proofErr w:type="spellEnd"/>
      <w:r w:rsidRPr="000C7747">
        <w:t xml:space="preserve"> &amp; </w:t>
      </w:r>
      <w:proofErr w:type="spellStart"/>
      <w:r w:rsidRPr="000C7747">
        <w:t>Ispriyarso</w:t>
      </w:r>
      <w:proofErr w:type="spellEnd"/>
      <w:r w:rsidRPr="000C7747">
        <w:t>, 2019)</w:t>
      </w:r>
      <w:r w:rsidR="00000000">
        <w:t xml:space="preserve">.  </w:t>
      </w:r>
    </w:p>
    <w:p w14:paraId="5D5BBBBF" w14:textId="77777777" w:rsidR="00F07020" w:rsidRDefault="00000000">
      <w:pPr>
        <w:spacing w:line="259" w:lineRule="auto"/>
        <w:ind w:right="0" w:firstLine="0"/>
        <w:jc w:val="left"/>
      </w:pPr>
      <w:r>
        <w:t xml:space="preserve"> </w:t>
      </w:r>
    </w:p>
    <w:p w14:paraId="5ACE4041" w14:textId="74ABE2FB" w:rsidR="00F07020" w:rsidRDefault="00000000">
      <w:pPr>
        <w:pStyle w:val="Heading1"/>
        <w:tabs>
          <w:tab w:val="center" w:pos="1979"/>
        </w:tabs>
        <w:ind w:left="-13" w:right="0" w:firstLine="0"/>
      </w:pPr>
      <w:r>
        <w:lastRenderedPageBreak/>
        <w:t>IV.</w:t>
      </w:r>
      <w:r>
        <w:rPr>
          <w:rFonts w:ascii="Arial" w:eastAsia="Arial" w:hAnsi="Arial" w:cs="Arial"/>
        </w:rPr>
        <w:t xml:space="preserve"> </w:t>
      </w:r>
      <w:r>
        <w:rPr>
          <w:rFonts w:ascii="Arial" w:eastAsia="Arial" w:hAnsi="Arial" w:cs="Arial"/>
        </w:rPr>
        <w:tab/>
      </w:r>
      <w:r w:rsidR="007458BA">
        <w:rPr>
          <w:noProof/>
        </w:rPr>
        <w:drawing>
          <wp:anchor distT="0" distB="0" distL="114300" distR="114300" simplePos="0" relativeHeight="251686912" behindDoc="1" locked="0" layoutInCell="1" allowOverlap="0" wp14:anchorId="012F9CF1" wp14:editId="1AA47071">
            <wp:simplePos x="0" y="0"/>
            <wp:positionH relativeFrom="column">
              <wp:posOffset>0</wp:posOffset>
            </wp:positionH>
            <wp:positionV relativeFrom="paragraph">
              <wp:posOffset>-635</wp:posOffset>
            </wp:positionV>
            <wp:extent cx="6129020" cy="6129020"/>
            <wp:effectExtent l="0" t="0" r="0" b="0"/>
            <wp:wrapNone/>
            <wp:docPr id="1436257723" name="Picture 1436257723"/>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t>KESIMPULAN</w:t>
      </w:r>
      <w:r>
        <w:rPr>
          <w:vertAlign w:val="superscript"/>
        </w:rPr>
        <w:t xml:space="preserve"> </w:t>
      </w:r>
      <w:r>
        <w:rPr>
          <w:color w:val="CC0000"/>
        </w:rPr>
        <w:t>(5-10%)</w:t>
      </w:r>
      <w:r>
        <w:rPr>
          <w:b w:val="0"/>
        </w:rPr>
        <w:t xml:space="preserve"> </w:t>
      </w:r>
    </w:p>
    <w:p w14:paraId="62130C9B" w14:textId="77777777" w:rsidR="000C7747" w:rsidRDefault="000C7747" w:rsidP="000C7747">
      <w:pPr>
        <w:pStyle w:val="Heading1"/>
        <w:spacing w:before="240"/>
        <w:ind w:left="-3" w:right="0" w:firstLine="723"/>
        <w:rPr>
          <w:b w:val="0"/>
        </w:rPr>
      </w:pPr>
      <w:r w:rsidRPr="000C7747">
        <w:rPr>
          <w:b w:val="0"/>
        </w:rPr>
        <w:t xml:space="preserve">The central government’s delegation of authority to manage PAD sources to regional governments, particularly in regencies, has yet to fully align with the potential of various regions. The fair and equitable allocation of PAD sources among district, local, provincial, and central governments has yet to be accomplished. Disparities persist in PAD contributions, the abundance of potential PAD sources, and the generated value of different types of </w:t>
      </w:r>
      <w:proofErr w:type="gramStart"/>
      <w:r w:rsidRPr="000C7747">
        <w:rPr>
          <w:b w:val="0"/>
        </w:rPr>
        <w:t>PAD</w:t>
      </w:r>
      <w:proofErr w:type="gramEnd"/>
      <w:r w:rsidRPr="000C7747">
        <w:rPr>
          <w:b w:val="0"/>
        </w:rPr>
        <w:t xml:space="preserve"> within specific areas across regencies, municipalities, and provincial and central governments. </w:t>
      </w:r>
    </w:p>
    <w:p w14:paraId="06B8560B" w14:textId="37DE3138" w:rsidR="00F07020" w:rsidRPr="000C7747" w:rsidRDefault="000C7747" w:rsidP="000C7747">
      <w:pPr>
        <w:pStyle w:val="Heading1"/>
        <w:spacing w:before="240"/>
        <w:ind w:left="-3" w:right="0" w:firstLine="723"/>
        <w:rPr>
          <w:b w:val="0"/>
        </w:rPr>
      </w:pPr>
      <w:r w:rsidRPr="000C7747">
        <w:rPr>
          <w:b w:val="0"/>
        </w:rPr>
        <w:t xml:space="preserve">Local governments’ success in achieving financial independence through utilizing potential sources of PAD is a form of joint success in implementing f </w:t>
      </w:r>
      <w:proofErr w:type="spellStart"/>
      <w:r w:rsidRPr="000C7747">
        <w:rPr>
          <w:b w:val="0"/>
        </w:rPr>
        <w:t>iscal</w:t>
      </w:r>
      <w:proofErr w:type="spellEnd"/>
      <w:r w:rsidRPr="000C7747">
        <w:rPr>
          <w:b w:val="0"/>
        </w:rPr>
        <w:t xml:space="preserve"> decentralization between local and central governments. As a result, the central and local governments must incorporate a region’s potential with the PAD sources provided by the central government. The regency governments have different characteristics from municipal governments regarding geographical landscape, economic structures, and population. These differences affect the local revenue potential, which should be managed differently from municipal fiscal policy</w:t>
      </w:r>
      <w:r w:rsidR="00000000">
        <w:t xml:space="preserve"> </w:t>
      </w:r>
    </w:p>
    <w:p w14:paraId="68C99F0A" w14:textId="77777777" w:rsidR="00F07020" w:rsidRDefault="00000000">
      <w:pPr>
        <w:spacing w:line="259" w:lineRule="auto"/>
        <w:ind w:right="0" w:firstLine="0"/>
        <w:jc w:val="left"/>
      </w:pPr>
      <w:r>
        <w:rPr>
          <w:b/>
        </w:rPr>
        <w:t xml:space="preserve"> </w:t>
      </w:r>
    </w:p>
    <w:p w14:paraId="7FFC031E" w14:textId="2100D453" w:rsidR="00000000" w:rsidRDefault="00000000" w:rsidP="00F85031">
      <w:pPr>
        <w:tabs>
          <w:tab w:val="right" w:pos="9695"/>
        </w:tabs>
        <w:spacing w:after="10" w:line="259" w:lineRule="auto"/>
        <w:ind w:left="-13" w:right="-13" w:firstLine="0"/>
        <w:jc w:val="left"/>
        <w:rPr>
          <w:b/>
        </w:rPr>
      </w:pPr>
      <w:r>
        <w:rPr>
          <w:b/>
        </w:rPr>
        <w:t>V.</w:t>
      </w:r>
      <w:r>
        <w:rPr>
          <w:rFonts w:ascii="Arial" w:eastAsia="Arial" w:hAnsi="Arial" w:cs="Arial"/>
          <w:b/>
        </w:rPr>
        <w:t xml:space="preserve"> </w:t>
      </w:r>
      <w:r w:rsidR="00F85031">
        <w:rPr>
          <w:rFonts w:ascii="Arial" w:eastAsia="Arial" w:hAnsi="Arial" w:cs="Arial"/>
          <w:b/>
        </w:rPr>
        <w:t xml:space="preserve">    </w:t>
      </w:r>
      <w:r>
        <w:rPr>
          <w:b/>
        </w:rPr>
        <w:t>DAFTAR</w:t>
      </w:r>
      <w:r>
        <w:rPr>
          <w:b/>
          <w:sz w:val="19"/>
        </w:rPr>
        <w:t xml:space="preserve"> </w:t>
      </w:r>
      <w:r>
        <w:rPr>
          <w:b/>
        </w:rPr>
        <w:t>PUSTAKA</w:t>
      </w:r>
    </w:p>
    <w:p w14:paraId="6E5C335C" w14:textId="77777777" w:rsidR="000C7747" w:rsidRDefault="000C7747" w:rsidP="00F85031">
      <w:pPr>
        <w:tabs>
          <w:tab w:val="right" w:pos="9695"/>
        </w:tabs>
        <w:spacing w:after="10" w:line="259" w:lineRule="auto"/>
        <w:ind w:left="-13" w:right="-13" w:firstLine="0"/>
        <w:jc w:val="left"/>
        <w:rPr>
          <w:b/>
        </w:rPr>
      </w:pPr>
    </w:p>
    <w:p w14:paraId="38EDF8D6" w14:textId="77777777" w:rsidR="000C7747" w:rsidRPr="00B818C7" w:rsidRDefault="000C7747" w:rsidP="000C7747">
      <w:pPr>
        <w:widowControl w:val="0"/>
        <w:autoSpaceDE w:val="0"/>
        <w:autoSpaceDN w:val="0"/>
        <w:adjustRightInd w:val="0"/>
        <w:spacing w:line="240" w:lineRule="auto"/>
        <w:ind w:left="480" w:hanging="480"/>
        <w:rPr>
          <w:noProof/>
        </w:rPr>
      </w:pPr>
      <w:r>
        <w:fldChar w:fldCharType="begin" w:fldLock="1"/>
      </w:r>
      <w:r>
        <w:instrText xml:space="preserve">ADDIN Mendeley Bibliography CSL_BIBLIOGRAPHY </w:instrText>
      </w:r>
      <w:r>
        <w:fldChar w:fldCharType="separate"/>
      </w:r>
      <w:r w:rsidRPr="00B818C7">
        <w:rPr>
          <w:noProof/>
        </w:rPr>
        <w:t xml:space="preserve">Akbar, D. S., Brata, Y. R., Herlina, E., Prawiranegara, B., &amp; Prabowo, F. H. E. (2019). Assessing Local Tax Contributions To Local Own Revenue: Evidence in One Region in Indonesia. </w:t>
      </w:r>
      <w:r w:rsidRPr="00B818C7">
        <w:rPr>
          <w:i/>
          <w:iCs/>
          <w:noProof/>
        </w:rPr>
        <w:t>Media Riset Akuntansi, Auditing &amp; Informasi</w:t>
      </w:r>
      <w:r w:rsidRPr="00B818C7">
        <w:rPr>
          <w:noProof/>
        </w:rPr>
        <w:t xml:space="preserve">, </w:t>
      </w:r>
      <w:r w:rsidRPr="00B818C7">
        <w:rPr>
          <w:i/>
          <w:iCs/>
          <w:noProof/>
        </w:rPr>
        <w:t>19</w:t>
      </w:r>
      <w:r w:rsidRPr="00B818C7">
        <w:rPr>
          <w:noProof/>
        </w:rPr>
        <w:t>(1), 1–18. https://doi.org/10.25105/mraai.v19i1.3881</w:t>
      </w:r>
    </w:p>
    <w:p w14:paraId="1C6FF4E6"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Alam. (2016). the Impact of Economic Structure Change on the Local Own Source Revenue and Its Effect Towards the Regional Income Improvement. </w:t>
      </w:r>
      <w:r w:rsidRPr="00B818C7">
        <w:rPr>
          <w:i/>
          <w:iCs/>
          <w:noProof/>
        </w:rPr>
        <w:t>Universitas Bandar Lampung (UBL), Indonesia</w:t>
      </w:r>
      <w:r w:rsidRPr="00B818C7">
        <w:rPr>
          <w:noProof/>
        </w:rPr>
        <w:t>.</w:t>
      </w:r>
    </w:p>
    <w:p w14:paraId="0E12D627"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Alyani, F., &amp; Siwi, M. K. (2020). Pengaruh Jumlah Objek Wisata dan Jumlah Hotel Terhadap Pendapatan Asli Daerah (PAD) di Kabupaten/Kota Provinsi Sumatera Barat. </w:t>
      </w:r>
      <w:r w:rsidRPr="00B818C7">
        <w:rPr>
          <w:i/>
          <w:iCs/>
          <w:noProof/>
        </w:rPr>
        <w:t>Jurnal Ecogen</w:t>
      </w:r>
      <w:r w:rsidRPr="00B818C7">
        <w:rPr>
          <w:noProof/>
        </w:rPr>
        <w:t xml:space="preserve">, </w:t>
      </w:r>
      <w:r w:rsidRPr="00B818C7">
        <w:rPr>
          <w:i/>
          <w:iCs/>
          <w:noProof/>
        </w:rPr>
        <w:t>3</w:t>
      </w:r>
      <w:r w:rsidRPr="00B818C7">
        <w:rPr>
          <w:noProof/>
        </w:rPr>
        <w:t>(2), 212. https://doi.org/10.24036/jmpe.v3i2.8763</w:t>
      </w:r>
    </w:p>
    <w:p w14:paraId="03AE4B4C"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Andriani, R. N. R., &amp; Wahid, N. N. (2019). Pengaruh Pendapatan Asli Daerah Dan Dana Perimbangan Terhadap Kemandirian Keuangan Daerah (Studi Kasus Pada Pemerintah Kota Tasikmalaya Tahun 2006 – 2015). </w:t>
      </w:r>
      <w:r w:rsidRPr="00B818C7">
        <w:rPr>
          <w:i/>
          <w:iCs/>
          <w:noProof/>
        </w:rPr>
        <w:t>Jurnal Akuntansi</w:t>
      </w:r>
      <w:r w:rsidRPr="00B818C7">
        <w:rPr>
          <w:noProof/>
        </w:rPr>
        <w:t xml:space="preserve">, </w:t>
      </w:r>
      <w:r w:rsidRPr="00B818C7">
        <w:rPr>
          <w:i/>
          <w:iCs/>
          <w:noProof/>
        </w:rPr>
        <w:t>13</w:t>
      </w:r>
      <w:r w:rsidRPr="00B818C7">
        <w:rPr>
          <w:noProof/>
        </w:rPr>
        <w:t>(1), 30–39. https://doi.org/10.37058/jak.v13i1.708</w:t>
      </w:r>
    </w:p>
    <w:p w14:paraId="508B4DC4"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Anisa Megawati, N., &amp; Ady, S. (2016). Kontribusi Retribusi Pasar Terhadap Pendapatan Asli Daerah (PAD) Kabupaten Sidoarjo. </w:t>
      </w:r>
      <w:r w:rsidRPr="00B818C7">
        <w:rPr>
          <w:i/>
          <w:iCs/>
          <w:noProof/>
        </w:rPr>
        <w:t>Jurnal Pendidikan Ekonomi (JUPE)</w:t>
      </w:r>
      <w:r w:rsidRPr="00B818C7">
        <w:rPr>
          <w:noProof/>
        </w:rPr>
        <w:t xml:space="preserve">, </w:t>
      </w:r>
      <w:r w:rsidRPr="00B818C7">
        <w:rPr>
          <w:i/>
          <w:iCs/>
          <w:noProof/>
        </w:rPr>
        <w:t>4</w:t>
      </w:r>
      <w:r w:rsidRPr="00B818C7">
        <w:rPr>
          <w:noProof/>
        </w:rPr>
        <w:t>(3), 1–10.</w:t>
      </w:r>
    </w:p>
    <w:p w14:paraId="0B334A06"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Bonet, J., &amp; Fretes, V. (2013). Expanding </w:t>
      </w:r>
      <w:r>
        <w:rPr>
          <w:noProof/>
        </w:rPr>
        <w:t>regional revenue</w:t>
      </w:r>
      <w:r w:rsidRPr="00B818C7">
        <w:rPr>
          <w:noProof/>
        </w:rPr>
        <w:t xml:space="preserve">s for promoting local development. </w:t>
      </w:r>
      <w:r w:rsidRPr="00B818C7">
        <w:rPr>
          <w:i/>
          <w:iCs/>
          <w:noProof/>
        </w:rPr>
        <w:t>Urban Public Economics Review</w:t>
      </w:r>
      <w:r w:rsidRPr="00B818C7">
        <w:rPr>
          <w:noProof/>
        </w:rPr>
        <w:t xml:space="preserve">, </w:t>
      </w:r>
      <w:r w:rsidRPr="00B818C7">
        <w:rPr>
          <w:i/>
          <w:iCs/>
          <w:noProof/>
        </w:rPr>
        <w:t>19</w:t>
      </w:r>
      <w:r w:rsidRPr="00B818C7">
        <w:rPr>
          <w:noProof/>
        </w:rPr>
        <w:t>, 64–87.</w:t>
      </w:r>
    </w:p>
    <w:p w14:paraId="49AB7849"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Dede, M. V., Indrihastuti, P., &amp; Sulistyowaty, Y. (2021). Dampak Covid-19 Terhadap Potensi Pajak Hiburan dan Kontribusi Terhadap Pendapatan Asli Daerah Kota Batu (Studi Kasus Dinas Pendapatan Kota Batu). </w:t>
      </w:r>
      <w:r w:rsidRPr="00B818C7">
        <w:rPr>
          <w:i/>
          <w:iCs/>
          <w:noProof/>
        </w:rPr>
        <w:t>Jurnal Akuntansi</w:t>
      </w:r>
      <w:r w:rsidRPr="00B818C7">
        <w:rPr>
          <w:noProof/>
        </w:rPr>
        <w:t xml:space="preserve">, </w:t>
      </w:r>
      <w:r w:rsidRPr="00B818C7">
        <w:rPr>
          <w:i/>
          <w:iCs/>
          <w:noProof/>
        </w:rPr>
        <w:t>13</w:t>
      </w:r>
      <w:r w:rsidRPr="00B818C7">
        <w:rPr>
          <w:noProof/>
        </w:rPr>
        <w:t>(2), 344–351. https://doi.org/10.28932/jam.v13i2.3886</w:t>
      </w:r>
    </w:p>
    <w:p w14:paraId="52325386"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Fatimah, N. N., Nopiyanti, A., &amp; Mintoyuwono, D. (2020). Pengaruh Pendapatan Asli Daerah dan Dana Perimbangan terhadap Belanja Daerah. </w:t>
      </w:r>
      <w:r w:rsidRPr="00B818C7">
        <w:rPr>
          <w:i/>
          <w:iCs/>
          <w:noProof/>
        </w:rPr>
        <w:t>Jurnal Kajian Akuntansi</w:t>
      </w:r>
      <w:r w:rsidRPr="00B818C7">
        <w:rPr>
          <w:noProof/>
        </w:rPr>
        <w:t xml:space="preserve">, </w:t>
      </w:r>
      <w:r w:rsidRPr="00B818C7">
        <w:rPr>
          <w:i/>
          <w:iCs/>
          <w:noProof/>
        </w:rPr>
        <w:t>22</w:t>
      </w:r>
      <w:r w:rsidRPr="00B818C7">
        <w:rPr>
          <w:noProof/>
        </w:rPr>
        <w:t>(2), 63–76. https://doi.org/10.34209/equ.v22i2.936</w:t>
      </w:r>
    </w:p>
    <w:p w14:paraId="6FBB0EB3" w14:textId="5BD213C1" w:rsidR="000C7747" w:rsidRPr="00B818C7" w:rsidRDefault="007458BA" w:rsidP="000C7747">
      <w:pPr>
        <w:widowControl w:val="0"/>
        <w:autoSpaceDE w:val="0"/>
        <w:autoSpaceDN w:val="0"/>
        <w:adjustRightInd w:val="0"/>
        <w:spacing w:line="240" w:lineRule="auto"/>
        <w:ind w:left="480" w:hanging="480"/>
        <w:rPr>
          <w:noProof/>
        </w:rPr>
      </w:pPr>
      <w:r>
        <w:rPr>
          <w:noProof/>
        </w:rPr>
        <w:lastRenderedPageBreak/>
        <w:drawing>
          <wp:anchor distT="0" distB="0" distL="114300" distR="114300" simplePos="0" relativeHeight="251688960" behindDoc="1" locked="0" layoutInCell="1" allowOverlap="0" wp14:anchorId="254CB1F9" wp14:editId="0A5475A7">
            <wp:simplePos x="0" y="0"/>
            <wp:positionH relativeFrom="column">
              <wp:posOffset>0</wp:posOffset>
            </wp:positionH>
            <wp:positionV relativeFrom="paragraph">
              <wp:posOffset>-635</wp:posOffset>
            </wp:positionV>
            <wp:extent cx="6129020" cy="6129020"/>
            <wp:effectExtent l="0" t="0" r="0" b="0"/>
            <wp:wrapNone/>
            <wp:docPr id="554881836" name="Picture 554881836"/>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000C7747" w:rsidRPr="00B818C7">
        <w:rPr>
          <w:noProof/>
        </w:rPr>
        <w:t xml:space="preserve">Fitriano, Y., &amp; Ferina, Z. I. (2021). Analisis Efektifitas Dan Kontribusi Pajak Hotel Dan Pajak Restoran Terhadap Pendapatan Asli Daerah (Pad) Kota Bengkulu. </w:t>
      </w:r>
      <w:r w:rsidR="000C7747" w:rsidRPr="00B818C7">
        <w:rPr>
          <w:i/>
          <w:iCs/>
          <w:noProof/>
        </w:rPr>
        <w:t>Jurnal Ilmiah Ekonomi Dan Bisnis</w:t>
      </w:r>
      <w:r w:rsidR="000C7747" w:rsidRPr="00B818C7">
        <w:rPr>
          <w:noProof/>
        </w:rPr>
        <w:t xml:space="preserve">, </w:t>
      </w:r>
      <w:r w:rsidR="000C7747" w:rsidRPr="00B818C7">
        <w:rPr>
          <w:i/>
          <w:iCs/>
          <w:noProof/>
        </w:rPr>
        <w:t>9</w:t>
      </w:r>
      <w:r w:rsidR="000C7747" w:rsidRPr="00B818C7">
        <w:rPr>
          <w:noProof/>
        </w:rPr>
        <w:t>(1), 69–80. https://doi.org/10.37676/ekombis.v9i1.1212</w:t>
      </w:r>
    </w:p>
    <w:p w14:paraId="762FCCC1"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Harati, R. (2023). Analisis Penentuan Sektor Unggulan di Kota Palangkaraya. </w:t>
      </w:r>
      <w:r w:rsidRPr="00B818C7">
        <w:rPr>
          <w:i/>
          <w:iCs/>
          <w:noProof/>
        </w:rPr>
        <w:t>JEPP : Jurnal Ekonomi Pembangunan Dan Pariwisata</w:t>
      </w:r>
      <w:r w:rsidRPr="00B818C7">
        <w:rPr>
          <w:noProof/>
        </w:rPr>
        <w:t xml:space="preserve">, </w:t>
      </w:r>
      <w:r w:rsidRPr="00B818C7">
        <w:rPr>
          <w:i/>
          <w:iCs/>
          <w:noProof/>
        </w:rPr>
        <w:t>3</w:t>
      </w:r>
      <w:r w:rsidRPr="00B818C7">
        <w:rPr>
          <w:noProof/>
        </w:rPr>
        <w:t>(2), 85–94. https://doi.org/10.52300/jepp.v3i2.11188</w:t>
      </w:r>
    </w:p>
    <w:p w14:paraId="22CEFF54"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Juliannisa, I. A., Artino, A., Maulana, A., &amp; Sikumbang, H. (2022). Analisa Konsep Pembangunan Wilayah Kabupaten Lampung Selatan Dan Kabupaten Cilacap. </w:t>
      </w:r>
      <w:r w:rsidRPr="00B818C7">
        <w:rPr>
          <w:i/>
          <w:iCs/>
          <w:noProof/>
        </w:rPr>
        <w:t>Ekonomi Dan Bisnis</w:t>
      </w:r>
      <w:r w:rsidRPr="00B818C7">
        <w:rPr>
          <w:noProof/>
        </w:rPr>
        <w:t xml:space="preserve">, </w:t>
      </w:r>
      <w:r w:rsidRPr="00B818C7">
        <w:rPr>
          <w:i/>
          <w:iCs/>
          <w:noProof/>
        </w:rPr>
        <w:t>9</w:t>
      </w:r>
      <w:r w:rsidRPr="00B818C7">
        <w:rPr>
          <w:noProof/>
        </w:rPr>
        <w:t>(1), 56–78. https://doi.org/10.35590/jeb.v9i1.4505</w:t>
      </w:r>
    </w:p>
    <w:p w14:paraId="7A25ECB0"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Khairi, H. (2021). Balance Between Delegation of Authority and Submission of Regional Revenue Sources in Indonesia. </w:t>
      </w:r>
      <w:r w:rsidRPr="00B818C7">
        <w:rPr>
          <w:i/>
          <w:iCs/>
          <w:noProof/>
        </w:rPr>
        <w:t>Jurnal Bina Praja</w:t>
      </w:r>
      <w:r w:rsidRPr="00B818C7">
        <w:rPr>
          <w:noProof/>
        </w:rPr>
        <w:t xml:space="preserve">, </w:t>
      </w:r>
      <w:r w:rsidRPr="00B818C7">
        <w:rPr>
          <w:i/>
          <w:iCs/>
          <w:noProof/>
        </w:rPr>
        <w:t>13</w:t>
      </w:r>
      <w:r w:rsidRPr="00B818C7">
        <w:rPr>
          <w:noProof/>
        </w:rPr>
        <w:t>(3), 431–443. https://doi.org/10.21787/jbp.13.2021.431-443</w:t>
      </w:r>
    </w:p>
    <w:p w14:paraId="1BF61E77"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Litvack, J., &amp; Seddon, J. (1999). </w:t>
      </w:r>
      <w:r w:rsidRPr="00B818C7">
        <w:rPr>
          <w:i/>
          <w:iCs/>
          <w:noProof/>
        </w:rPr>
        <w:t>Decentralization Briefing notes World Bank</w:t>
      </w:r>
      <w:r w:rsidRPr="00B818C7">
        <w:rPr>
          <w:noProof/>
        </w:rPr>
        <w:t>.</w:t>
      </w:r>
    </w:p>
    <w:p w14:paraId="4BFB7EE4"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Mahroji, D., &amp; Indrawati, M. (2020). Analisis Sektor Unggulan Dan Spesialisasi Regional Kota Bandar Lampung. </w:t>
      </w:r>
      <w:r w:rsidRPr="00B818C7">
        <w:rPr>
          <w:i/>
          <w:iCs/>
          <w:noProof/>
        </w:rPr>
        <w:t>Jurnal Ekobis : Ekonomi Bisnis &amp; Manajemen</w:t>
      </w:r>
      <w:r w:rsidRPr="00B818C7">
        <w:rPr>
          <w:noProof/>
        </w:rPr>
        <w:t xml:space="preserve">, </w:t>
      </w:r>
      <w:r w:rsidRPr="00B818C7">
        <w:rPr>
          <w:i/>
          <w:iCs/>
          <w:noProof/>
        </w:rPr>
        <w:t>9</w:t>
      </w:r>
      <w:r w:rsidRPr="00B818C7">
        <w:rPr>
          <w:noProof/>
        </w:rPr>
        <w:t>(1), 01–08. https://doi.org/10.37932/j.e.v9i1.44</w:t>
      </w:r>
    </w:p>
    <w:p w14:paraId="0A3FCB7F"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Mandak, A., Tawas, Y., &amp; Tuegeh, O. (2022). Analisis Potensi Pajak Hiburan dan Pajak Restoran sebagai Upaya Peningkatan Pendapatan Asli Daerah Kota Palu. </w:t>
      </w:r>
      <w:r w:rsidRPr="00B818C7">
        <w:rPr>
          <w:i/>
          <w:iCs/>
          <w:noProof/>
        </w:rPr>
        <w:t>Jurnal Akuntansi Manado</w:t>
      </w:r>
      <w:r w:rsidRPr="00B818C7">
        <w:rPr>
          <w:noProof/>
        </w:rPr>
        <w:t xml:space="preserve">, </w:t>
      </w:r>
      <w:r w:rsidRPr="00B818C7">
        <w:rPr>
          <w:i/>
          <w:iCs/>
          <w:noProof/>
        </w:rPr>
        <w:t>3</w:t>
      </w:r>
      <w:r w:rsidRPr="00B818C7">
        <w:rPr>
          <w:noProof/>
        </w:rPr>
        <w:t>(2).</w:t>
      </w:r>
    </w:p>
    <w:p w14:paraId="4C6E725F"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Mcconnell, C. R., Brue, S. L., &amp; Flynn, S. M. (2012). </w:t>
      </w:r>
      <w:r w:rsidRPr="00B818C7">
        <w:rPr>
          <w:i/>
          <w:iCs/>
          <w:noProof/>
        </w:rPr>
        <w:t>MICROECONOMICS: PRINCIPLES, PROBLEMS, AND POLICIES Published</w:t>
      </w:r>
      <w:r w:rsidRPr="00B818C7">
        <w:rPr>
          <w:noProof/>
        </w:rPr>
        <w:t xml:space="preserve"> (19th ed.). McGraw-Hill/Irwin.</w:t>
      </w:r>
    </w:p>
    <w:p w14:paraId="442678EF"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Nasir, M. S. (2019). Analisis Sumber-Sumber Pendapatan Asli Daerah Setelah Satu Dekadeotonomi Daerah. </w:t>
      </w:r>
      <w:r w:rsidRPr="00B818C7">
        <w:rPr>
          <w:i/>
          <w:iCs/>
          <w:noProof/>
        </w:rPr>
        <w:t>Jurnal Dinamika Ekonomi Pembangunan</w:t>
      </w:r>
      <w:r w:rsidRPr="00B818C7">
        <w:rPr>
          <w:noProof/>
        </w:rPr>
        <w:t xml:space="preserve">, </w:t>
      </w:r>
      <w:r w:rsidRPr="00B818C7">
        <w:rPr>
          <w:i/>
          <w:iCs/>
          <w:noProof/>
        </w:rPr>
        <w:t>2</w:t>
      </w:r>
      <w:r w:rsidRPr="00B818C7">
        <w:rPr>
          <w:noProof/>
        </w:rPr>
        <w:t>(1), 30. https://doi.org/10.14710/jdep.2.1.30-45</w:t>
      </w:r>
    </w:p>
    <w:p w14:paraId="12FA3B2C"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Nugroho, B. A., &amp; Budiman, P. W. (2018). Identifikasi potensi retribusi pasar dalam upaya peningkatan pendapatan asli daerah kota samarinda. </w:t>
      </w:r>
      <w:r w:rsidRPr="00B818C7">
        <w:rPr>
          <w:i/>
          <w:iCs/>
          <w:noProof/>
        </w:rPr>
        <w:t>Inovasi</w:t>
      </w:r>
      <w:r w:rsidRPr="00B818C7">
        <w:rPr>
          <w:noProof/>
        </w:rPr>
        <w:t xml:space="preserve">, </w:t>
      </w:r>
      <w:r w:rsidRPr="00B818C7">
        <w:rPr>
          <w:i/>
          <w:iCs/>
          <w:noProof/>
        </w:rPr>
        <w:t>14</w:t>
      </w:r>
      <w:r w:rsidRPr="00B818C7">
        <w:rPr>
          <w:noProof/>
        </w:rPr>
        <w:t>(2), 63. https://doi.org/10.29264/jinv.v14i2.4318</w:t>
      </w:r>
    </w:p>
    <w:p w14:paraId="24BCD25D"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Nurfadilah, Parwati, G., &amp; Prasaja, A. S. (2022). Analisis Sektor Unggulan Kota Bandar Lampung (Sebuah Pendekatan Sektor Pembentuk PDRB). </w:t>
      </w:r>
      <w:r w:rsidRPr="00B818C7">
        <w:rPr>
          <w:i/>
          <w:iCs/>
          <w:noProof/>
        </w:rPr>
        <w:t>Jurnal Pendidikan Tambusai</w:t>
      </w:r>
      <w:r w:rsidRPr="00B818C7">
        <w:rPr>
          <w:noProof/>
        </w:rPr>
        <w:t xml:space="preserve">, </w:t>
      </w:r>
      <w:r w:rsidRPr="00B818C7">
        <w:rPr>
          <w:i/>
          <w:iCs/>
          <w:noProof/>
        </w:rPr>
        <w:t>6</w:t>
      </w:r>
      <w:r w:rsidRPr="00B818C7">
        <w:rPr>
          <w:noProof/>
        </w:rPr>
        <w:t>(2), 13005–13010. https://www.jptam.org/index.php/jptam/article/view/4517</w:t>
      </w:r>
    </w:p>
    <w:p w14:paraId="7ADF0948"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Nurfaridah, S., &amp; Suherty, L. (2023). Analisis Sektor-Sektor Unggulan Perekonomian Kabupaten Pulang Pisau Tahun 2010-2020. </w:t>
      </w:r>
      <w:r w:rsidRPr="00B818C7">
        <w:rPr>
          <w:i/>
          <w:iCs/>
          <w:noProof/>
        </w:rPr>
        <w:t>JIEP: Jurnal Ilmu Ekonomi Dan Pembangunan</w:t>
      </w:r>
      <w:r w:rsidRPr="00B818C7">
        <w:rPr>
          <w:noProof/>
        </w:rPr>
        <w:t xml:space="preserve">, </w:t>
      </w:r>
      <w:r w:rsidRPr="00B818C7">
        <w:rPr>
          <w:i/>
          <w:iCs/>
          <w:noProof/>
        </w:rPr>
        <w:t>6</w:t>
      </w:r>
      <w:r w:rsidRPr="00B818C7">
        <w:rPr>
          <w:noProof/>
        </w:rPr>
        <w:t>(2), 583–592.</w:t>
      </w:r>
    </w:p>
    <w:p w14:paraId="597404A5"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Priyono, D., &amp; Handayani, H. R. (2021). Analisis Pengaruh Pdrb, Inflasi, Jumlah Penduduk Terhadap Pendapatan Asli Daerah Di Kabupaten Eks Karisidenan Pati Tahun 2012 - 2018. </w:t>
      </w:r>
      <w:r w:rsidRPr="00B818C7">
        <w:rPr>
          <w:i/>
          <w:iCs/>
          <w:noProof/>
        </w:rPr>
        <w:t>Diponegoro Journal of Economics</w:t>
      </w:r>
      <w:r w:rsidRPr="00B818C7">
        <w:rPr>
          <w:noProof/>
        </w:rPr>
        <w:t xml:space="preserve">, </w:t>
      </w:r>
      <w:r w:rsidRPr="00B818C7">
        <w:rPr>
          <w:i/>
          <w:iCs/>
          <w:noProof/>
        </w:rPr>
        <w:t>10</w:t>
      </w:r>
      <w:r w:rsidRPr="00B818C7">
        <w:rPr>
          <w:noProof/>
        </w:rPr>
        <w:t>(2), 1–10. https://ejournal2.undip.ac.id/index.php/dje</w:t>
      </w:r>
    </w:p>
    <w:p w14:paraId="52E30096"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Puspita, D., &amp; Hamidi, U. S. (2021). DESENTRALISASI FISKAL Dua Dekade Implementasi. In </w:t>
      </w:r>
      <w:r w:rsidRPr="00B818C7">
        <w:rPr>
          <w:i/>
          <w:iCs/>
          <w:noProof/>
        </w:rPr>
        <w:t>Badan Kebijakan Fiskal Kementerian Keuangan Republik Indonesia</w:t>
      </w:r>
      <w:r w:rsidRPr="00B818C7">
        <w:rPr>
          <w:noProof/>
        </w:rPr>
        <w:t>.</w:t>
      </w:r>
    </w:p>
    <w:p w14:paraId="699A61BE"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Rahayu, S. E., Handayani, R., &amp; Febriaty, H. (2023). Potensi Retribusi Parkir Terhadap Pendapatan Asli Daerah Kota Medan, Sebelum dan Sesudah Penerapan E-Parkir. </w:t>
      </w:r>
      <w:r w:rsidRPr="00B818C7">
        <w:rPr>
          <w:i/>
          <w:iCs/>
          <w:noProof/>
        </w:rPr>
        <w:t>Riset &amp; Jurnal Akuntansi</w:t>
      </w:r>
      <w:r w:rsidRPr="00B818C7">
        <w:rPr>
          <w:noProof/>
        </w:rPr>
        <w:t xml:space="preserve">, </w:t>
      </w:r>
      <w:r w:rsidRPr="00B818C7">
        <w:rPr>
          <w:i/>
          <w:iCs/>
          <w:noProof/>
        </w:rPr>
        <w:t>7</w:t>
      </w:r>
      <w:r w:rsidRPr="00B818C7">
        <w:rPr>
          <w:noProof/>
        </w:rPr>
        <w:t>(4), 2702–2711. https://doi.org/10.33395/owner.v7i4.1936</w:t>
      </w:r>
    </w:p>
    <w:p w14:paraId="62A49B66"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Rosyidah, S. I. (2022). </w:t>
      </w:r>
      <w:r w:rsidRPr="00B818C7">
        <w:rPr>
          <w:i/>
          <w:iCs/>
          <w:noProof/>
        </w:rPr>
        <w:t>Analisis Potensi Sektor Ekonomi Pada Kabupaten Dan Kota Provinsi Daerah Istimewa Yogyakarta</w:t>
      </w:r>
      <w:r w:rsidRPr="00B818C7">
        <w:rPr>
          <w:noProof/>
        </w:rPr>
        <w:t xml:space="preserve">. </w:t>
      </w:r>
      <w:r w:rsidRPr="00B818C7">
        <w:rPr>
          <w:i/>
          <w:iCs/>
          <w:noProof/>
        </w:rPr>
        <w:t>XXVII</w:t>
      </w:r>
      <w:r w:rsidRPr="00B818C7">
        <w:rPr>
          <w:noProof/>
        </w:rPr>
        <w:t>(03), 296–316.</w:t>
      </w:r>
    </w:p>
    <w:p w14:paraId="5FEA8F0A" w14:textId="61578033"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Sa’diyah, H., Probowulan, D., &amp; Syahfrudin Z, A. (2019). Dampak Alokasi Dana Desa, Jumlah Wajib Pajak, Jumlah Penduduk dan Luas Lahan terhadap Realisasi Penerimaan PBB-P2. </w:t>
      </w:r>
      <w:r w:rsidRPr="00B818C7">
        <w:rPr>
          <w:i/>
          <w:iCs/>
          <w:noProof/>
        </w:rPr>
        <w:t>BUDGETING : Journal of Business, Management and Accounting</w:t>
      </w:r>
      <w:r w:rsidRPr="00B818C7">
        <w:rPr>
          <w:noProof/>
        </w:rPr>
        <w:t xml:space="preserve">, </w:t>
      </w:r>
      <w:r w:rsidRPr="00B818C7">
        <w:rPr>
          <w:i/>
          <w:iCs/>
          <w:noProof/>
        </w:rPr>
        <w:t>1</w:t>
      </w:r>
      <w:r w:rsidRPr="00B818C7">
        <w:rPr>
          <w:noProof/>
        </w:rPr>
        <w:t xml:space="preserve">(1), 50–65. </w:t>
      </w:r>
      <w:r w:rsidR="007458BA">
        <w:rPr>
          <w:noProof/>
        </w:rPr>
        <w:lastRenderedPageBreak/>
        <w:drawing>
          <wp:anchor distT="0" distB="0" distL="114300" distR="114300" simplePos="0" relativeHeight="251691008" behindDoc="1" locked="0" layoutInCell="1" allowOverlap="0" wp14:anchorId="74DE216E" wp14:editId="08B5714D">
            <wp:simplePos x="0" y="0"/>
            <wp:positionH relativeFrom="column">
              <wp:posOffset>0</wp:posOffset>
            </wp:positionH>
            <wp:positionV relativeFrom="paragraph">
              <wp:posOffset>-635</wp:posOffset>
            </wp:positionV>
            <wp:extent cx="6129020" cy="6129020"/>
            <wp:effectExtent l="0" t="0" r="0" b="0"/>
            <wp:wrapNone/>
            <wp:docPr id="1303073076" name="Picture 1303073076"/>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6129020" cy="6129020"/>
                    </a:xfrm>
                    <a:prstGeom prst="rect">
                      <a:avLst/>
                    </a:prstGeom>
                  </pic:spPr>
                </pic:pic>
              </a:graphicData>
            </a:graphic>
          </wp:anchor>
        </w:drawing>
      </w:r>
      <w:r w:rsidRPr="00B818C7">
        <w:rPr>
          <w:noProof/>
        </w:rPr>
        <w:t>https://doi.org/10.31539/budgeting.v1i1.797</w:t>
      </w:r>
    </w:p>
    <w:p w14:paraId="447E5D8E"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Sanjaya, S., &amp; Wijaya, R. A. (2020). Pengaruh Jumlah Hotel dan Restoran terhadap Penerimaan Pajaknya serta Dampaknya pada Pendapatan Asli Daerah di Sumatra Barat. </w:t>
      </w:r>
      <w:r w:rsidRPr="00B818C7">
        <w:rPr>
          <w:i/>
          <w:iCs/>
          <w:noProof/>
        </w:rPr>
        <w:t>Jurnal Riset Akuntansi Dan Keuangan</w:t>
      </w:r>
      <w:r w:rsidRPr="00B818C7">
        <w:rPr>
          <w:noProof/>
        </w:rPr>
        <w:t xml:space="preserve">, </w:t>
      </w:r>
      <w:r w:rsidRPr="00B818C7">
        <w:rPr>
          <w:i/>
          <w:iCs/>
          <w:noProof/>
        </w:rPr>
        <w:t>8</w:t>
      </w:r>
      <w:r w:rsidRPr="00B818C7">
        <w:rPr>
          <w:noProof/>
        </w:rPr>
        <w:t>(3), 559–568.</w:t>
      </w:r>
    </w:p>
    <w:p w14:paraId="3ED7F225"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Solikin, A. (2016). Analisis Flypaper Effect Pada Pengujian Pengaruh Dana Alokasi Umum (DAU), Pendapatan Asli Daerah (PAD), Dan Sisa Lebih Penghitungan Anggaran (SiLPA) Terhadap Belanja Pemerintah Daerah Di Indonesia (Studi Tahun 2012-2014). </w:t>
      </w:r>
      <w:r w:rsidRPr="00B818C7">
        <w:rPr>
          <w:i/>
          <w:iCs/>
          <w:noProof/>
        </w:rPr>
        <w:t>Jurnal Akuntansi Dan Bisnis</w:t>
      </w:r>
      <w:r w:rsidRPr="00B818C7">
        <w:rPr>
          <w:noProof/>
        </w:rPr>
        <w:t xml:space="preserve">, </w:t>
      </w:r>
      <w:r w:rsidRPr="00B818C7">
        <w:rPr>
          <w:i/>
          <w:iCs/>
          <w:noProof/>
        </w:rPr>
        <w:t>16</w:t>
      </w:r>
      <w:r w:rsidRPr="00B818C7">
        <w:rPr>
          <w:noProof/>
        </w:rPr>
        <w:t>(1), 11. https://doi.org/10.20961/jab.v16i1.187</w:t>
      </w:r>
    </w:p>
    <w:p w14:paraId="7D713BF2"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Suot, C. G., Kawung, G. M. V., &amp; Tumilaar, R. (2021). Pengaruh Sektor Pariwisata Dan Pertumbuhan Ekonomi Terhadap Pendapatan Asli Daerah Di Kota Manado. </w:t>
      </w:r>
      <w:r w:rsidRPr="00B818C7">
        <w:rPr>
          <w:i/>
          <w:iCs/>
          <w:noProof/>
        </w:rPr>
        <w:t>Jurnal EMBA</w:t>
      </w:r>
      <w:r w:rsidRPr="00B818C7">
        <w:rPr>
          <w:noProof/>
        </w:rPr>
        <w:t xml:space="preserve">, </w:t>
      </w:r>
      <w:r w:rsidRPr="00B818C7">
        <w:rPr>
          <w:i/>
          <w:iCs/>
          <w:noProof/>
        </w:rPr>
        <w:t>9</w:t>
      </w:r>
      <w:r w:rsidRPr="00B818C7">
        <w:rPr>
          <w:noProof/>
        </w:rPr>
        <w:t>(1), 403–411. http://e-journal.uajy.ac.id/1574/3/2EM16271.pdf.</w:t>
      </w:r>
    </w:p>
    <w:p w14:paraId="7C15B031"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Syamsuri, S., Asmawati, Y., &amp; Ikat, S. A. (2019). SWOT Analysis Of Waterfront City; The Development Concept In Palangka Raya. </w:t>
      </w:r>
      <w:r w:rsidRPr="00B818C7">
        <w:rPr>
          <w:i/>
          <w:iCs/>
          <w:noProof/>
        </w:rPr>
        <w:t>Jejak</w:t>
      </w:r>
      <w:r w:rsidRPr="00B818C7">
        <w:rPr>
          <w:noProof/>
        </w:rPr>
        <w:t xml:space="preserve">, </w:t>
      </w:r>
      <w:r w:rsidRPr="00B818C7">
        <w:rPr>
          <w:i/>
          <w:iCs/>
          <w:noProof/>
        </w:rPr>
        <w:t>12</w:t>
      </w:r>
      <w:r w:rsidRPr="00B818C7">
        <w:rPr>
          <w:noProof/>
        </w:rPr>
        <w:t>(2), 403–420. https://doi.org/10.15294/jejak.v12i2.23213</w:t>
      </w:r>
    </w:p>
    <w:p w14:paraId="67153C9D"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Tamin, A. K. A., &amp; Syafitri, W. (2022). ANALISIS PENGARUH PDRB, JUMLAH INDUSTRI DAN JUMLAH PENDUDUK TERHADAP RETRIBUSI KEBERSIHAN SAMPAH TAHUN 1990 – 2021 Alysha. </w:t>
      </w:r>
      <w:r w:rsidRPr="00B818C7">
        <w:rPr>
          <w:i/>
          <w:iCs/>
          <w:noProof/>
        </w:rPr>
        <w:t>Journal of Development Economic and Social Studies</w:t>
      </w:r>
      <w:r w:rsidRPr="00B818C7">
        <w:rPr>
          <w:noProof/>
        </w:rPr>
        <w:t xml:space="preserve">, </w:t>
      </w:r>
      <w:r w:rsidRPr="00B818C7">
        <w:rPr>
          <w:i/>
          <w:iCs/>
          <w:noProof/>
        </w:rPr>
        <w:t>1</w:t>
      </w:r>
      <w:r w:rsidRPr="00B818C7">
        <w:rPr>
          <w:noProof/>
        </w:rPr>
        <w:t>(1), 116–122. https://doi.org/http://dx.doi.org/10.21776/jdess.2022.01.1.11</w:t>
      </w:r>
    </w:p>
    <w:p w14:paraId="34C333C5"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Tan, A. (2020). Raising Local Fiscal Autonomy in the Local Autonomy Management (A Study in Bogor Regency). </w:t>
      </w:r>
      <w:r w:rsidRPr="00B818C7">
        <w:rPr>
          <w:i/>
          <w:iCs/>
          <w:noProof/>
        </w:rPr>
        <w:t>Jurnal Bina Praja</w:t>
      </w:r>
      <w:r w:rsidRPr="00B818C7">
        <w:rPr>
          <w:noProof/>
        </w:rPr>
        <w:t xml:space="preserve">, </w:t>
      </w:r>
      <w:r w:rsidRPr="00B818C7">
        <w:rPr>
          <w:i/>
          <w:iCs/>
          <w:noProof/>
        </w:rPr>
        <w:t>12</w:t>
      </w:r>
      <w:r w:rsidRPr="00B818C7">
        <w:rPr>
          <w:noProof/>
        </w:rPr>
        <w:t>(1), 53–63. https://doi.org/10.21787/jbp.12.2020.53-63</w:t>
      </w:r>
    </w:p>
    <w:p w14:paraId="3FA5D326"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Tinangon, J., &amp; Patara, W. (2016). Analisis Kontribusi, Efektivitas Dan Perhitungan Pbb-P2. </w:t>
      </w:r>
      <w:r w:rsidRPr="00B818C7">
        <w:rPr>
          <w:i/>
          <w:iCs/>
          <w:noProof/>
        </w:rPr>
        <w:t>Jurnal Riset Ekonomi, Manajemen, Bisnis Dan Akuntansi</w:t>
      </w:r>
      <w:r w:rsidRPr="00B818C7">
        <w:rPr>
          <w:noProof/>
        </w:rPr>
        <w:t xml:space="preserve">, </w:t>
      </w:r>
      <w:r w:rsidRPr="00B818C7">
        <w:rPr>
          <w:i/>
          <w:iCs/>
          <w:noProof/>
        </w:rPr>
        <w:t>4</w:t>
      </w:r>
      <w:r w:rsidRPr="00B818C7">
        <w:rPr>
          <w:noProof/>
        </w:rPr>
        <w:t>(1), 763–771.</w:t>
      </w:r>
    </w:p>
    <w:p w14:paraId="57A236B0"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UNCDF. (2023). </w:t>
      </w:r>
      <w:r w:rsidRPr="00B818C7">
        <w:rPr>
          <w:i/>
          <w:iCs/>
          <w:noProof/>
        </w:rPr>
        <w:t>Leveraging Own Source Revenues to Realize the Power of Local Governments to Realize the Power of Local Governments</w:t>
      </w:r>
      <w:r w:rsidRPr="00B818C7">
        <w:rPr>
          <w:noProof/>
        </w:rPr>
        <w:t>. https://www.uncdf.org/article/8414/leveraging-own-source-revenues-to-realize-the-power-of-local-governments</w:t>
      </w:r>
    </w:p>
    <w:p w14:paraId="0518EEA2"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Wadjaudje, D. U., Susanti, S., &amp; Pahala, I. (2018). Pengaruh Belanja Modal, Investasi, Jumlah Wisatawan, dan Pertumbuhan Ekonomi Terhadap Pendapatan Asli Daerah Provinsi DKI Jakarta. </w:t>
      </w:r>
      <w:r w:rsidRPr="00B818C7">
        <w:rPr>
          <w:i/>
          <w:iCs/>
          <w:noProof/>
        </w:rPr>
        <w:t>Jurnal Ekonomi Dan Keuangan Publik</w:t>
      </w:r>
      <w:r w:rsidRPr="00B818C7">
        <w:rPr>
          <w:noProof/>
        </w:rPr>
        <w:t xml:space="preserve">, </w:t>
      </w:r>
      <w:r w:rsidRPr="00B818C7">
        <w:rPr>
          <w:i/>
          <w:iCs/>
          <w:noProof/>
        </w:rPr>
        <w:t>5</w:t>
      </w:r>
      <w:r w:rsidRPr="00B818C7">
        <w:rPr>
          <w:noProof/>
        </w:rPr>
        <w:t>(2), 105–128.</w:t>
      </w:r>
    </w:p>
    <w:p w14:paraId="28877786" w14:textId="77777777" w:rsidR="000C7747" w:rsidRPr="00B818C7" w:rsidRDefault="000C7747" w:rsidP="000C7747">
      <w:pPr>
        <w:widowControl w:val="0"/>
        <w:autoSpaceDE w:val="0"/>
        <w:autoSpaceDN w:val="0"/>
        <w:adjustRightInd w:val="0"/>
        <w:spacing w:line="240" w:lineRule="auto"/>
        <w:ind w:left="480" w:hanging="480"/>
        <w:rPr>
          <w:noProof/>
        </w:rPr>
      </w:pPr>
      <w:r w:rsidRPr="00B818C7">
        <w:rPr>
          <w:noProof/>
        </w:rPr>
        <w:t xml:space="preserve">Wibisono, T., &amp; Mulyani, Y. S. (2019). Efektivitas Pajak Bumi &amp; Bangunan Perdesaan Dan Perkotaan Terhadap Pendapatan Asli Daerah (Pad) Di Kabupaten Tasikmalaya. </w:t>
      </w:r>
      <w:r w:rsidRPr="00B818C7">
        <w:rPr>
          <w:i/>
          <w:iCs/>
          <w:noProof/>
        </w:rPr>
        <w:t>Jurnal Ecodemica: Jurnal Ekonomi, Manajemen, Dan Bisnis</w:t>
      </w:r>
      <w:r w:rsidRPr="00B818C7">
        <w:rPr>
          <w:noProof/>
        </w:rPr>
        <w:t xml:space="preserve">, </w:t>
      </w:r>
      <w:r w:rsidRPr="00B818C7">
        <w:rPr>
          <w:i/>
          <w:iCs/>
          <w:noProof/>
        </w:rPr>
        <w:t>3</w:t>
      </w:r>
      <w:r w:rsidRPr="00B818C7">
        <w:rPr>
          <w:noProof/>
        </w:rPr>
        <w:t>(2), 133–140. https://doi.org/10.31311/jeco.v3i2.5841</w:t>
      </w:r>
    </w:p>
    <w:p w14:paraId="311D2EC1" w14:textId="70010BC5" w:rsidR="000C7747" w:rsidRDefault="000C7747" w:rsidP="000C7747">
      <w:pPr>
        <w:tabs>
          <w:tab w:val="right" w:pos="9695"/>
        </w:tabs>
        <w:spacing w:after="10" w:line="259" w:lineRule="auto"/>
        <w:ind w:left="-13" w:right="-13" w:firstLine="0"/>
        <w:jc w:val="left"/>
      </w:pPr>
      <w:r>
        <w:fldChar w:fldCharType="end"/>
      </w:r>
    </w:p>
    <w:sectPr w:rsidR="000C7747">
      <w:headerReference w:type="even" r:id="rId9"/>
      <w:headerReference w:type="default" r:id="rId10"/>
      <w:footerReference w:type="even" r:id="rId11"/>
      <w:footerReference w:type="default" r:id="rId12"/>
      <w:headerReference w:type="first" r:id="rId13"/>
      <w:footerReference w:type="first" r:id="rId14"/>
      <w:pgSz w:w="12240" w:h="15840"/>
      <w:pgMar w:top="2273" w:right="1129" w:bottom="1433" w:left="1416"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53A1E" w14:textId="77777777" w:rsidR="008D5145" w:rsidRDefault="008D5145">
      <w:pPr>
        <w:spacing w:line="240" w:lineRule="auto"/>
      </w:pPr>
      <w:r>
        <w:separator/>
      </w:r>
    </w:p>
  </w:endnote>
  <w:endnote w:type="continuationSeparator" w:id="0">
    <w:p w14:paraId="2C8027E3" w14:textId="77777777" w:rsidR="008D5145" w:rsidRDefault="008D51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F08CC" w14:textId="77777777" w:rsidR="00F07020" w:rsidRDefault="00000000">
    <w:pPr>
      <w:spacing w:line="259" w:lineRule="auto"/>
      <w:ind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071445D" w14:textId="77777777" w:rsidR="00F07020" w:rsidRDefault="00000000">
    <w:pPr>
      <w:spacing w:line="259" w:lineRule="auto"/>
      <w:ind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0D468" w14:textId="77777777" w:rsidR="00F07020" w:rsidRDefault="00000000">
    <w:pPr>
      <w:spacing w:line="259" w:lineRule="auto"/>
      <w:ind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9418D2B" w14:textId="77777777" w:rsidR="00F07020" w:rsidRDefault="00000000">
    <w:pPr>
      <w:spacing w:line="259" w:lineRule="auto"/>
      <w:ind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73B8" w14:textId="77777777" w:rsidR="00F07020" w:rsidRDefault="00000000">
    <w:pPr>
      <w:spacing w:line="259" w:lineRule="auto"/>
      <w:ind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0433C3A" w14:textId="77777777" w:rsidR="00F07020" w:rsidRDefault="00000000">
    <w:pPr>
      <w:spacing w:line="259" w:lineRule="auto"/>
      <w:ind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2896B" w14:textId="77777777" w:rsidR="008D5145" w:rsidRDefault="008D5145">
      <w:pPr>
        <w:spacing w:line="240" w:lineRule="auto"/>
      </w:pPr>
      <w:r>
        <w:separator/>
      </w:r>
    </w:p>
  </w:footnote>
  <w:footnote w:type="continuationSeparator" w:id="0">
    <w:p w14:paraId="06CF0F5B" w14:textId="77777777" w:rsidR="008D5145" w:rsidRDefault="008D51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0126" w14:textId="77777777" w:rsidR="00F07020" w:rsidRDefault="00000000">
    <w:pPr>
      <w:spacing w:line="259" w:lineRule="auto"/>
      <w:ind w:right="0" w:firstLine="0"/>
    </w:pPr>
    <w:r>
      <w:rPr>
        <w:b/>
        <w:color w:val="0070C0"/>
        <w:sz w:val="18"/>
      </w:rPr>
      <w:t xml:space="preserve">CONTOH FORMAT/TEMPLATE RINGKASAN SKRIPSI PRAJA YANG DIDEPOSITKAN KE REPOSITORY IPDN: </w:t>
    </w:r>
  </w:p>
  <w:p w14:paraId="6570F814" w14:textId="77777777" w:rsidR="00F07020" w:rsidRDefault="00000000">
    <w:pPr>
      <w:spacing w:line="216" w:lineRule="auto"/>
      <w:ind w:left="2" w:right="7" w:firstLine="0"/>
    </w:pPr>
    <w:r>
      <w:rPr>
        <w:b/>
        <w:color w:val="0070C0"/>
        <w:sz w:val="18"/>
      </w:rPr>
      <w:t xml:space="preserve">Mohon </w:t>
    </w:r>
    <w:proofErr w:type="spellStart"/>
    <w:r>
      <w:rPr>
        <w:b/>
        <w:color w:val="0070C0"/>
        <w:sz w:val="18"/>
      </w:rPr>
      <w:t>Ringkasan</w:t>
    </w:r>
    <w:proofErr w:type="spellEnd"/>
    <w:r>
      <w:rPr>
        <w:b/>
        <w:color w:val="0070C0"/>
        <w:sz w:val="18"/>
      </w:rPr>
      <w:t xml:space="preserve"> </w:t>
    </w:r>
    <w:proofErr w:type="spellStart"/>
    <w:r>
      <w:rPr>
        <w:b/>
        <w:color w:val="0070C0"/>
        <w:sz w:val="18"/>
      </w:rPr>
      <w:t>Skripsi</w:t>
    </w:r>
    <w:proofErr w:type="spellEnd"/>
    <w:r>
      <w:rPr>
        <w:b/>
        <w:color w:val="0070C0"/>
        <w:sz w:val="18"/>
      </w:rPr>
      <w:t xml:space="preserve"> Anda </w:t>
    </w:r>
    <w:proofErr w:type="spellStart"/>
    <w:r>
      <w:rPr>
        <w:b/>
        <w:color w:val="0070C0"/>
        <w:sz w:val="18"/>
      </w:rPr>
      <w:t>dapat</w:t>
    </w:r>
    <w:proofErr w:type="spellEnd"/>
    <w:r>
      <w:rPr>
        <w:b/>
        <w:color w:val="0070C0"/>
        <w:sz w:val="18"/>
      </w:rPr>
      <w:t xml:space="preserve"> </w:t>
    </w:r>
    <w:proofErr w:type="spellStart"/>
    <w:r>
      <w:rPr>
        <w:b/>
        <w:color w:val="0070C0"/>
        <w:sz w:val="18"/>
      </w:rPr>
      <w:t>disesuaikan</w:t>
    </w:r>
    <w:proofErr w:type="spellEnd"/>
    <w:r>
      <w:rPr>
        <w:b/>
        <w:color w:val="0070C0"/>
        <w:sz w:val="18"/>
      </w:rPr>
      <w:t xml:space="preserve"> </w:t>
    </w:r>
    <w:proofErr w:type="spellStart"/>
    <w:r>
      <w:rPr>
        <w:b/>
        <w:color w:val="0070C0"/>
        <w:sz w:val="18"/>
      </w:rPr>
      <w:t>degan</w:t>
    </w:r>
    <w:proofErr w:type="spellEnd"/>
    <w:r>
      <w:rPr>
        <w:b/>
        <w:color w:val="0070C0"/>
        <w:sz w:val="18"/>
      </w:rPr>
      <w:t xml:space="preserve"> BAB/SUB BAB yang DI BLOK TEBAL. Buat </w:t>
    </w:r>
    <w:proofErr w:type="spellStart"/>
    <w:r>
      <w:rPr>
        <w:b/>
        <w:color w:val="0070C0"/>
        <w:sz w:val="18"/>
      </w:rPr>
      <w:t>sebaik</w:t>
    </w:r>
    <w:proofErr w:type="spellEnd"/>
    <w:r>
      <w:rPr>
        <w:b/>
        <w:color w:val="0070C0"/>
        <w:sz w:val="18"/>
      </w:rPr>
      <w:t xml:space="preserve"> </w:t>
    </w:r>
    <w:proofErr w:type="spellStart"/>
    <w:r>
      <w:rPr>
        <w:b/>
        <w:color w:val="0070C0"/>
        <w:sz w:val="18"/>
      </w:rPr>
      <w:t>mungkin</w:t>
    </w:r>
    <w:proofErr w:type="spellEnd"/>
    <w:r>
      <w:rPr>
        <w:b/>
        <w:color w:val="0070C0"/>
        <w:sz w:val="18"/>
      </w:rPr>
      <w:t xml:space="preserve"> </w:t>
    </w:r>
    <w:proofErr w:type="spellStart"/>
    <w:r>
      <w:rPr>
        <w:b/>
        <w:color w:val="0070C0"/>
        <w:sz w:val="18"/>
      </w:rPr>
      <w:t>karena</w:t>
    </w:r>
    <w:proofErr w:type="spellEnd"/>
    <w:r>
      <w:rPr>
        <w:b/>
        <w:color w:val="0070C0"/>
        <w:sz w:val="18"/>
      </w:rPr>
      <w:t xml:space="preserve"> </w:t>
    </w:r>
    <w:proofErr w:type="spellStart"/>
    <w:r>
      <w:rPr>
        <w:b/>
        <w:color w:val="0070C0"/>
        <w:sz w:val="18"/>
      </w:rPr>
      <w:t>akan</w:t>
    </w:r>
    <w:proofErr w:type="spellEnd"/>
    <w:r>
      <w:rPr>
        <w:b/>
        <w:color w:val="0070C0"/>
        <w:sz w:val="18"/>
      </w:rPr>
      <w:t xml:space="preserve"> </w:t>
    </w:r>
    <w:proofErr w:type="spellStart"/>
    <w:r>
      <w:rPr>
        <w:b/>
        <w:color w:val="0070C0"/>
        <w:sz w:val="18"/>
      </w:rPr>
      <w:t>dipublikasikan</w:t>
    </w:r>
    <w:proofErr w:type="spellEnd"/>
    <w:r>
      <w:rPr>
        <w:b/>
        <w:color w:val="0070C0"/>
        <w:sz w:val="18"/>
      </w:rPr>
      <w:t xml:space="preserve"> </w:t>
    </w:r>
    <w:proofErr w:type="spellStart"/>
    <w:r>
      <w:rPr>
        <w:b/>
        <w:color w:val="0070C0"/>
        <w:sz w:val="18"/>
      </w:rPr>
      <w:t>secara</w:t>
    </w:r>
    <w:proofErr w:type="spellEnd"/>
    <w:r>
      <w:rPr>
        <w:b/>
        <w:color w:val="0070C0"/>
        <w:sz w:val="18"/>
      </w:rPr>
      <w:t xml:space="preserve"> online di </w:t>
    </w:r>
    <w:r>
      <w:rPr>
        <w:b/>
        <w:color w:val="0070C0"/>
        <w:sz w:val="18"/>
        <w:u w:val="single" w:color="0070C0"/>
      </w:rPr>
      <w:t>http://eprints.ipdn.ac.id/</w:t>
    </w:r>
    <w:r>
      <w:rPr>
        <w:b/>
        <w:color w:val="0070C0"/>
        <w:sz w:val="18"/>
      </w:rPr>
      <w:t xml:space="preserve"> dan </w:t>
    </w:r>
    <w:proofErr w:type="spellStart"/>
    <w:proofErr w:type="gramStart"/>
    <w:r>
      <w:rPr>
        <w:b/>
        <w:color w:val="0070C0"/>
        <w:sz w:val="18"/>
      </w:rPr>
      <w:t>memungkinkan</w:t>
    </w:r>
    <w:proofErr w:type="spellEnd"/>
    <w:r>
      <w:rPr>
        <w:b/>
        <w:color w:val="0070C0"/>
        <w:sz w:val="18"/>
      </w:rPr>
      <w:t xml:space="preserve">  tulisan</w:t>
    </w:r>
    <w:proofErr w:type="gramEnd"/>
    <w:r>
      <w:rPr>
        <w:b/>
        <w:color w:val="0070C0"/>
        <w:sz w:val="18"/>
      </w:rPr>
      <w:t xml:space="preserve"> </w:t>
    </w:r>
    <w:proofErr w:type="spellStart"/>
    <w:r>
      <w:rPr>
        <w:b/>
        <w:color w:val="0070C0"/>
        <w:sz w:val="18"/>
      </w:rPr>
      <w:t>Sodara</w:t>
    </w:r>
    <w:proofErr w:type="spellEnd"/>
    <w:r>
      <w:rPr>
        <w:b/>
        <w:color w:val="0070C0"/>
        <w:sz w:val="18"/>
      </w:rPr>
      <w:t>/</w:t>
    </w:r>
    <w:proofErr w:type="spellStart"/>
    <w:r>
      <w:rPr>
        <w:b/>
        <w:color w:val="0070C0"/>
        <w:sz w:val="18"/>
      </w:rPr>
      <w:t>i</w:t>
    </w:r>
    <w:proofErr w:type="spellEnd"/>
    <w:r>
      <w:rPr>
        <w:b/>
        <w:color w:val="0070C0"/>
        <w:sz w:val="18"/>
      </w:rPr>
      <w:t xml:space="preserve">  </w:t>
    </w:r>
    <w:proofErr w:type="spellStart"/>
    <w:r>
      <w:rPr>
        <w:b/>
        <w:color w:val="0070C0"/>
        <w:sz w:val="18"/>
      </w:rPr>
      <w:t>akan</w:t>
    </w:r>
    <w:proofErr w:type="spellEnd"/>
    <w:r>
      <w:rPr>
        <w:b/>
        <w:color w:val="0070C0"/>
        <w:sz w:val="18"/>
      </w:rPr>
      <w:t xml:space="preserve"> </w:t>
    </w:r>
    <w:proofErr w:type="spellStart"/>
    <w:r>
      <w:rPr>
        <w:b/>
        <w:color w:val="0070C0"/>
        <w:sz w:val="18"/>
      </w:rPr>
      <w:t>dibaca</w:t>
    </w:r>
    <w:proofErr w:type="spellEnd"/>
    <w:r>
      <w:rPr>
        <w:b/>
        <w:color w:val="0070C0"/>
        <w:sz w:val="18"/>
      </w:rPr>
      <w:t xml:space="preserve"> oleh Civitas </w:t>
    </w:r>
    <w:proofErr w:type="spellStart"/>
    <w:r>
      <w:rPr>
        <w:b/>
        <w:color w:val="0070C0"/>
        <w:sz w:val="18"/>
      </w:rPr>
      <w:t>Akademika</w:t>
    </w:r>
    <w:proofErr w:type="spellEnd"/>
    <w:r>
      <w:rPr>
        <w:b/>
        <w:color w:val="0070C0"/>
        <w:sz w:val="18"/>
      </w:rPr>
      <w:t xml:space="preserve"> Universitas lain/</w:t>
    </w:r>
    <w:proofErr w:type="spellStart"/>
    <w:r>
      <w:rPr>
        <w:b/>
        <w:color w:val="0070C0"/>
        <w:sz w:val="18"/>
      </w:rPr>
      <w:t>Peneliti</w:t>
    </w:r>
    <w:proofErr w:type="spellEnd"/>
    <w:r>
      <w:rPr>
        <w:b/>
        <w:color w:val="0070C0"/>
        <w:sz w:val="18"/>
      </w:rPr>
      <w:t>/</w:t>
    </w:r>
    <w:proofErr w:type="spellStart"/>
    <w:r>
      <w:rPr>
        <w:b/>
        <w:color w:val="0070C0"/>
        <w:sz w:val="18"/>
      </w:rPr>
      <w:t>pembaca</w:t>
    </w:r>
    <w:proofErr w:type="spellEnd"/>
    <w:r>
      <w:rPr>
        <w:b/>
        <w:color w:val="0070C0"/>
        <w:sz w:val="18"/>
      </w:rPr>
      <w:t xml:space="preserve"> </w:t>
    </w:r>
    <w:proofErr w:type="spellStart"/>
    <w:r>
      <w:rPr>
        <w:b/>
        <w:color w:val="0070C0"/>
        <w:sz w:val="18"/>
      </w:rPr>
      <w:t>secara</w:t>
    </w:r>
    <w:proofErr w:type="spellEnd"/>
    <w:r>
      <w:rPr>
        <w:b/>
        <w:color w:val="0070C0"/>
        <w:sz w:val="18"/>
      </w:rPr>
      <w:t xml:space="preserve"> Global.</w:t>
    </w:r>
    <w:r>
      <w:rPr>
        <w:color w:val="0070C0"/>
        <w:sz w:val="28"/>
      </w:rPr>
      <w:t xml:space="preserve"> </w:t>
    </w:r>
  </w:p>
  <w:p w14:paraId="39E9F8F9" w14:textId="77777777" w:rsidR="00F07020" w:rsidRDefault="00000000">
    <w:pPr>
      <w:spacing w:line="259" w:lineRule="auto"/>
      <w:ind w:right="0" w:firstLine="0"/>
      <w:jc w:val="left"/>
    </w:pPr>
    <w:r>
      <w:rPr>
        <w:sz w:val="20"/>
      </w:rPr>
      <w:t xml:space="preserve"> </w:t>
    </w:r>
  </w:p>
  <w:p w14:paraId="60013CE6" w14:textId="77777777" w:rsidR="00F07020" w:rsidRDefault="00000000">
    <w:pPr>
      <w:spacing w:line="259" w:lineRule="auto"/>
      <w:ind w:right="0" w:firstLine="0"/>
      <w:jc w:val="left"/>
    </w:pPr>
    <w:r>
      <w:rPr>
        <w:sz w:val="20"/>
      </w:rPr>
      <w:t xml:space="preserve"> </w:t>
    </w:r>
  </w:p>
  <w:p w14:paraId="2A8A3898" w14:textId="77777777" w:rsidR="00F07020" w:rsidRDefault="00000000">
    <w:pPr>
      <w:spacing w:line="259" w:lineRule="auto"/>
      <w:ind w:right="0" w:firstLine="0"/>
      <w:jc w:val="left"/>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9166A" w14:textId="246FE474" w:rsidR="00F07020" w:rsidRDefault="00F07020">
    <w:pPr>
      <w:spacing w:line="259" w:lineRule="auto"/>
      <w:ind w:right="0" w:firstLine="0"/>
      <w:jc w:val="left"/>
    </w:pPr>
  </w:p>
  <w:p w14:paraId="415DD911" w14:textId="77777777" w:rsidR="00F07020" w:rsidRDefault="00000000">
    <w:pPr>
      <w:spacing w:line="259" w:lineRule="auto"/>
      <w:ind w:right="0" w:firstLine="0"/>
      <w:jc w:val="left"/>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0C46D" w14:textId="77777777" w:rsidR="00F07020" w:rsidRDefault="00000000">
    <w:pPr>
      <w:spacing w:line="259" w:lineRule="auto"/>
      <w:ind w:right="0" w:firstLine="0"/>
    </w:pPr>
    <w:r>
      <w:rPr>
        <w:b/>
        <w:color w:val="0070C0"/>
        <w:sz w:val="18"/>
      </w:rPr>
      <w:t xml:space="preserve">CONTOH FORMAT/TEMPLATE RINGKASAN SKRIPSI PRAJA YANG DIDEPOSITKAN KE REPOSITORY IPDN: </w:t>
    </w:r>
  </w:p>
  <w:p w14:paraId="5B7C8AD9" w14:textId="77777777" w:rsidR="00F07020" w:rsidRDefault="00000000">
    <w:pPr>
      <w:spacing w:line="216" w:lineRule="auto"/>
      <w:ind w:left="2" w:right="7" w:firstLine="0"/>
    </w:pPr>
    <w:r>
      <w:rPr>
        <w:b/>
        <w:color w:val="0070C0"/>
        <w:sz w:val="18"/>
      </w:rPr>
      <w:t xml:space="preserve">Mohon </w:t>
    </w:r>
    <w:proofErr w:type="spellStart"/>
    <w:r>
      <w:rPr>
        <w:b/>
        <w:color w:val="0070C0"/>
        <w:sz w:val="18"/>
      </w:rPr>
      <w:t>Ringkasan</w:t>
    </w:r>
    <w:proofErr w:type="spellEnd"/>
    <w:r>
      <w:rPr>
        <w:b/>
        <w:color w:val="0070C0"/>
        <w:sz w:val="18"/>
      </w:rPr>
      <w:t xml:space="preserve"> </w:t>
    </w:r>
    <w:proofErr w:type="spellStart"/>
    <w:r>
      <w:rPr>
        <w:b/>
        <w:color w:val="0070C0"/>
        <w:sz w:val="18"/>
      </w:rPr>
      <w:t>Skripsi</w:t>
    </w:r>
    <w:proofErr w:type="spellEnd"/>
    <w:r>
      <w:rPr>
        <w:b/>
        <w:color w:val="0070C0"/>
        <w:sz w:val="18"/>
      </w:rPr>
      <w:t xml:space="preserve"> Anda </w:t>
    </w:r>
    <w:proofErr w:type="spellStart"/>
    <w:r>
      <w:rPr>
        <w:b/>
        <w:color w:val="0070C0"/>
        <w:sz w:val="18"/>
      </w:rPr>
      <w:t>dapat</w:t>
    </w:r>
    <w:proofErr w:type="spellEnd"/>
    <w:r>
      <w:rPr>
        <w:b/>
        <w:color w:val="0070C0"/>
        <w:sz w:val="18"/>
      </w:rPr>
      <w:t xml:space="preserve"> </w:t>
    </w:r>
    <w:proofErr w:type="spellStart"/>
    <w:r>
      <w:rPr>
        <w:b/>
        <w:color w:val="0070C0"/>
        <w:sz w:val="18"/>
      </w:rPr>
      <w:t>disesuaikan</w:t>
    </w:r>
    <w:proofErr w:type="spellEnd"/>
    <w:r>
      <w:rPr>
        <w:b/>
        <w:color w:val="0070C0"/>
        <w:sz w:val="18"/>
      </w:rPr>
      <w:t xml:space="preserve"> </w:t>
    </w:r>
    <w:proofErr w:type="spellStart"/>
    <w:r>
      <w:rPr>
        <w:b/>
        <w:color w:val="0070C0"/>
        <w:sz w:val="18"/>
      </w:rPr>
      <w:t>degan</w:t>
    </w:r>
    <w:proofErr w:type="spellEnd"/>
    <w:r>
      <w:rPr>
        <w:b/>
        <w:color w:val="0070C0"/>
        <w:sz w:val="18"/>
      </w:rPr>
      <w:t xml:space="preserve"> BAB/SUB BAB yang DI BLOK TEBAL. Buat </w:t>
    </w:r>
    <w:proofErr w:type="spellStart"/>
    <w:r>
      <w:rPr>
        <w:b/>
        <w:color w:val="0070C0"/>
        <w:sz w:val="18"/>
      </w:rPr>
      <w:t>sebaik</w:t>
    </w:r>
    <w:proofErr w:type="spellEnd"/>
    <w:r>
      <w:rPr>
        <w:b/>
        <w:color w:val="0070C0"/>
        <w:sz w:val="18"/>
      </w:rPr>
      <w:t xml:space="preserve"> </w:t>
    </w:r>
    <w:proofErr w:type="spellStart"/>
    <w:r>
      <w:rPr>
        <w:b/>
        <w:color w:val="0070C0"/>
        <w:sz w:val="18"/>
      </w:rPr>
      <w:t>mungkin</w:t>
    </w:r>
    <w:proofErr w:type="spellEnd"/>
    <w:r>
      <w:rPr>
        <w:b/>
        <w:color w:val="0070C0"/>
        <w:sz w:val="18"/>
      </w:rPr>
      <w:t xml:space="preserve"> </w:t>
    </w:r>
    <w:proofErr w:type="spellStart"/>
    <w:r>
      <w:rPr>
        <w:b/>
        <w:color w:val="0070C0"/>
        <w:sz w:val="18"/>
      </w:rPr>
      <w:t>karena</w:t>
    </w:r>
    <w:proofErr w:type="spellEnd"/>
    <w:r>
      <w:rPr>
        <w:b/>
        <w:color w:val="0070C0"/>
        <w:sz w:val="18"/>
      </w:rPr>
      <w:t xml:space="preserve"> </w:t>
    </w:r>
    <w:proofErr w:type="spellStart"/>
    <w:r>
      <w:rPr>
        <w:b/>
        <w:color w:val="0070C0"/>
        <w:sz w:val="18"/>
      </w:rPr>
      <w:t>akan</w:t>
    </w:r>
    <w:proofErr w:type="spellEnd"/>
    <w:r>
      <w:rPr>
        <w:b/>
        <w:color w:val="0070C0"/>
        <w:sz w:val="18"/>
      </w:rPr>
      <w:t xml:space="preserve"> </w:t>
    </w:r>
    <w:proofErr w:type="spellStart"/>
    <w:r>
      <w:rPr>
        <w:b/>
        <w:color w:val="0070C0"/>
        <w:sz w:val="18"/>
      </w:rPr>
      <w:t>dipublikasikan</w:t>
    </w:r>
    <w:proofErr w:type="spellEnd"/>
    <w:r>
      <w:rPr>
        <w:b/>
        <w:color w:val="0070C0"/>
        <w:sz w:val="18"/>
      </w:rPr>
      <w:t xml:space="preserve"> </w:t>
    </w:r>
    <w:proofErr w:type="spellStart"/>
    <w:r>
      <w:rPr>
        <w:b/>
        <w:color w:val="0070C0"/>
        <w:sz w:val="18"/>
      </w:rPr>
      <w:t>secara</w:t>
    </w:r>
    <w:proofErr w:type="spellEnd"/>
    <w:r>
      <w:rPr>
        <w:b/>
        <w:color w:val="0070C0"/>
        <w:sz w:val="18"/>
      </w:rPr>
      <w:t xml:space="preserve"> online di </w:t>
    </w:r>
    <w:r>
      <w:rPr>
        <w:b/>
        <w:color w:val="0070C0"/>
        <w:sz w:val="18"/>
        <w:u w:val="single" w:color="0070C0"/>
      </w:rPr>
      <w:t>http://eprints.ipdn.ac.id/</w:t>
    </w:r>
    <w:r>
      <w:rPr>
        <w:b/>
        <w:color w:val="0070C0"/>
        <w:sz w:val="18"/>
      </w:rPr>
      <w:t xml:space="preserve"> dan </w:t>
    </w:r>
    <w:proofErr w:type="spellStart"/>
    <w:proofErr w:type="gramStart"/>
    <w:r>
      <w:rPr>
        <w:b/>
        <w:color w:val="0070C0"/>
        <w:sz w:val="18"/>
      </w:rPr>
      <w:t>memungkinkan</w:t>
    </w:r>
    <w:proofErr w:type="spellEnd"/>
    <w:r>
      <w:rPr>
        <w:b/>
        <w:color w:val="0070C0"/>
        <w:sz w:val="18"/>
      </w:rPr>
      <w:t xml:space="preserve">  tulisan</w:t>
    </w:r>
    <w:proofErr w:type="gramEnd"/>
    <w:r>
      <w:rPr>
        <w:b/>
        <w:color w:val="0070C0"/>
        <w:sz w:val="18"/>
      </w:rPr>
      <w:t xml:space="preserve"> </w:t>
    </w:r>
    <w:proofErr w:type="spellStart"/>
    <w:r>
      <w:rPr>
        <w:b/>
        <w:color w:val="0070C0"/>
        <w:sz w:val="18"/>
      </w:rPr>
      <w:t>Sodara</w:t>
    </w:r>
    <w:proofErr w:type="spellEnd"/>
    <w:r>
      <w:rPr>
        <w:b/>
        <w:color w:val="0070C0"/>
        <w:sz w:val="18"/>
      </w:rPr>
      <w:t>/</w:t>
    </w:r>
    <w:proofErr w:type="spellStart"/>
    <w:r>
      <w:rPr>
        <w:b/>
        <w:color w:val="0070C0"/>
        <w:sz w:val="18"/>
      </w:rPr>
      <w:t>i</w:t>
    </w:r>
    <w:proofErr w:type="spellEnd"/>
    <w:r>
      <w:rPr>
        <w:b/>
        <w:color w:val="0070C0"/>
        <w:sz w:val="18"/>
      </w:rPr>
      <w:t xml:space="preserve">  </w:t>
    </w:r>
    <w:proofErr w:type="spellStart"/>
    <w:r>
      <w:rPr>
        <w:b/>
        <w:color w:val="0070C0"/>
        <w:sz w:val="18"/>
      </w:rPr>
      <w:t>akan</w:t>
    </w:r>
    <w:proofErr w:type="spellEnd"/>
    <w:r>
      <w:rPr>
        <w:b/>
        <w:color w:val="0070C0"/>
        <w:sz w:val="18"/>
      </w:rPr>
      <w:t xml:space="preserve"> </w:t>
    </w:r>
    <w:proofErr w:type="spellStart"/>
    <w:r>
      <w:rPr>
        <w:b/>
        <w:color w:val="0070C0"/>
        <w:sz w:val="18"/>
      </w:rPr>
      <w:t>dibaca</w:t>
    </w:r>
    <w:proofErr w:type="spellEnd"/>
    <w:r>
      <w:rPr>
        <w:b/>
        <w:color w:val="0070C0"/>
        <w:sz w:val="18"/>
      </w:rPr>
      <w:t xml:space="preserve"> oleh Civitas </w:t>
    </w:r>
    <w:proofErr w:type="spellStart"/>
    <w:r>
      <w:rPr>
        <w:b/>
        <w:color w:val="0070C0"/>
        <w:sz w:val="18"/>
      </w:rPr>
      <w:t>Akademika</w:t>
    </w:r>
    <w:proofErr w:type="spellEnd"/>
    <w:r>
      <w:rPr>
        <w:b/>
        <w:color w:val="0070C0"/>
        <w:sz w:val="18"/>
      </w:rPr>
      <w:t xml:space="preserve"> Universitas lain/</w:t>
    </w:r>
    <w:proofErr w:type="spellStart"/>
    <w:r>
      <w:rPr>
        <w:b/>
        <w:color w:val="0070C0"/>
        <w:sz w:val="18"/>
      </w:rPr>
      <w:t>Peneliti</w:t>
    </w:r>
    <w:proofErr w:type="spellEnd"/>
    <w:r>
      <w:rPr>
        <w:b/>
        <w:color w:val="0070C0"/>
        <w:sz w:val="18"/>
      </w:rPr>
      <w:t>/</w:t>
    </w:r>
    <w:proofErr w:type="spellStart"/>
    <w:r>
      <w:rPr>
        <w:b/>
        <w:color w:val="0070C0"/>
        <w:sz w:val="18"/>
      </w:rPr>
      <w:t>pembaca</w:t>
    </w:r>
    <w:proofErr w:type="spellEnd"/>
    <w:r>
      <w:rPr>
        <w:b/>
        <w:color w:val="0070C0"/>
        <w:sz w:val="18"/>
      </w:rPr>
      <w:t xml:space="preserve"> </w:t>
    </w:r>
    <w:proofErr w:type="spellStart"/>
    <w:r>
      <w:rPr>
        <w:b/>
        <w:color w:val="0070C0"/>
        <w:sz w:val="18"/>
      </w:rPr>
      <w:t>secara</w:t>
    </w:r>
    <w:proofErr w:type="spellEnd"/>
    <w:r>
      <w:rPr>
        <w:b/>
        <w:color w:val="0070C0"/>
        <w:sz w:val="18"/>
      </w:rPr>
      <w:t xml:space="preserve"> Global.</w:t>
    </w:r>
    <w:r>
      <w:rPr>
        <w:color w:val="0070C0"/>
        <w:sz w:val="28"/>
      </w:rPr>
      <w:t xml:space="preserve"> </w:t>
    </w:r>
  </w:p>
  <w:p w14:paraId="53E78D68" w14:textId="77777777" w:rsidR="00F07020" w:rsidRDefault="00000000">
    <w:pPr>
      <w:spacing w:line="259" w:lineRule="auto"/>
      <w:ind w:right="0" w:firstLine="0"/>
      <w:jc w:val="left"/>
    </w:pPr>
    <w:r>
      <w:rPr>
        <w:sz w:val="20"/>
      </w:rPr>
      <w:t xml:space="preserve"> </w:t>
    </w:r>
  </w:p>
  <w:p w14:paraId="7528C22B" w14:textId="77777777" w:rsidR="00F07020" w:rsidRDefault="00000000">
    <w:pPr>
      <w:spacing w:line="259" w:lineRule="auto"/>
      <w:ind w:right="0" w:firstLine="0"/>
      <w:jc w:val="left"/>
    </w:pPr>
    <w:r>
      <w:rPr>
        <w:sz w:val="20"/>
      </w:rPr>
      <w:t xml:space="preserve"> </w:t>
    </w:r>
  </w:p>
  <w:p w14:paraId="37ADE156" w14:textId="77777777" w:rsidR="00F07020" w:rsidRDefault="00000000">
    <w:pPr>
      <w:spacing w:line="259" w:lineRule="auto"/>
      <w:ind w:right="0" w:firstLine="0"/>
      <w:jc w:val="left"/>
    </w:pP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D5CE5"/>
    <w:multiLevelType w:val="hybridMultilevel"/>
    <w:tmpl w:val="EE38635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5F81BD0"/>
    <w:multiLevelType w:val="hybridMultilevel"/>
    <w:tmpl w:val="9116A1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532F68D2"/>
    <w:multiLevelType w:val="hybridMultilevel"/>
    <w:tmpl w:val="11C899F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6F695581"/>
    <w:multiLevelType w:val="hybridMultilevel"/>
    <w:tmpl w:val="F4563BB0"/>
    <w:lvl w:ilvl="0" w:tplc="545E290E">
      <w:start w:val="1"/>
      <w:numFmt w:val="decimal"/>
      <w:lvlText w:val="%1."/>
      <w:lvlJc w:val="left"/>
      <w:pPr>
        <w:ind w:left="3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760E9614">
      <w:start w:val="1"/>
      <w:numFmt w:val="lowerLetter"/>
      <w:lvlText w:val="%2"/>
      <w:lvlJc w:val="left"/>
      <w:pPr>
        <w:ind w:left="110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0A92F782">
      <w:start w:val="1"/>
      <w:numFmt w:val="lowerRoman"/>
      <w:lvlText w:val="%3"/>
      <w:lvlJc w:val="left"/>
      <w:pPr>
        <w:ind w:left="182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C48E0892">
      <w:start w:val="1"/>
      <w:numFmt w:val="decimal"/>
      <w:lvlText w:val="%4"/>
      <w:lvlJc w:val="left"/>
      <w:pPr>
        <w:ind w:left="254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11D43382">
      <w:start w:val="1"/>
      <w:numFmt w:val="lowerLetter"/>
      <w:lvlText w:val="%5"/>
      <w:lvlJc w:val="left"/>
      <w:pPr>
        <w:ind w:left="326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909C16C6">
      <w:start w:val="1"/>
      <w:numFmt w:val="lowerRoman"/>
      <w:lvlText w:val="%6"/>
      <w:lvlJc w:val="left"/>
      <w:pPr>
        <w:ind w:left="398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25EAF39A">
      <w:start w:val="1"/>
      <w:numFmt w:val="decimal"/>
      <w:lvlText w:val="%7"/>
      <w:lvlJc w:val="left"/>
      <w:pPr>
        <w:ind w:left="470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E712317C">
      <w:start w:val="1"/>
      <w:numFmt w:val="lowerLetter"/>
      <w:lvlText w:val="%8"/>
      <w:lvlJc w:val="left"/>
      <w:pPr>
        <w:ind w:left="542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F3A81572">
      <w:start w:val="1"/>
      <w:numFmt w:val="lowerRoman"/>
      <w:lvlText w:val="%9"/>
      <w:lvlJc w:val="left"/>
      <w:pPr>
        <w:ind w:left="614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4" w15:restartNumberingAfterBreak="0">
    <w:nsid w:val="75FF15F5"/>
    <w:multiLevelType w:val="hybridMultilevel"/>
    <w:tmpl w:val="E506CFA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85884212">
    <w:abstractNumId w:val="3"/>
  </w:num>
  <w:num w:numId="2" w16cid:durableId="1609122266">
    <w:abstractNumId w:val="0"/>
  </w:num>
  <w:num w:numId="3" w16cid:durableId="759520148">
    <w:abstractNumId w:val="2"/>
  </w:num>
  <w:num w:numId="4" w16cid:durableId="1524247634">
    <w:abstractNumId w:val="4"/>
  </w:num>
  <w:num w:numId="5" w16cid:durableId="453407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020"/>
    <w:rsid w:val="000C7747"/>
    <w:rsid w:val="001D79A1"/>
    <w:rsid w:val="002E07E1"/>
    <w:rsid w:val="00326304"/>
    <w:rsid w:val="003274FB"/>
    <w:rsid w:val="004E3E34"/>
    <w:rsid w:val="007458BA"/>
    <w:rsid w:val="008D5145"/>
    <w:rsid w:val="00D611C0"/>
    <w:rsid w:val="00E64CE3"/>
    <w:rsid w:val="00F07020"/>
    <w:rsid w:val="00F85031"/>
    <w:rsid w:val="00FA2F47"/>
    <w:rsid w:val="00FB58F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CD1C9"/>
  <w15:docId w15:val="{3C59732A-8226-4E3A-A558-5521D4BE4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8" w:lineRule="auto"/>
      <w:ind w:right="1" w:firstLine="712"/>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10" w:right="9"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0" w:line="259" w:lineRule="auto"/>
      <w:ind w:left="10" w:right="9"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0" w:line="259" w:lineRule="auto"/>
      <w:ind w:left="10" w:right="9"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F85031"/>
    <w:pPr>
      <w:spacing w:after="0" w:line="240" w:lineRule="auto"/>
    </w:pPr>
    <w:rPr>
      <w:rFonts w:eastAsiaTheme="minorHAnsi"/>
      <w:kern w:val="0"/>
      <w:sz w:val="22"/>
      <w:szCs w:val="22"/>
      <w:lang w:val="en-GB"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F85031"/>
    <w:pPr>
      <w:spacing w:after="200" w:line="240" w:lineRule="auto"/>
      <w:ind w:right="0" w:firstLine="0"/>
      <w:jc w:val="left"/>
    </w:pPr>
    <w:rPr>
      <w:rFonts w:eastAsiaTheme="minorHAnsi" w:cstheme="minorBidi"/>
      <w:b/>
      <w:iCs/>
      <w:color w:val="auto"/>
      <w:kern w:val="0"/>
      <w:sz w:val="20"/>
      <w:szCs w:val="18"/>
      <w:lang w:val="en-US" w:eastAsia="en-US"/>
      <w14:ligatures w14:val="none"/>
    </w:rPr>
  </w:style>
  <w:style w:type="table" w:styleId="PlainTable4">
    <w:name w:val="Plain Table 4"/>
    <w:basedOn w:val="TableNormal"/>
    <w:uiPriority w:val="44"/>
    <w:rsid w:val="00F85031"/>
    <w:pPr>
      <w:spacing w:after="0" w:line="240" w:lineRule="auto"/>
    </w:pPr>
    <w:rPr>
      <w:rFonts w:eastAsiaTheme="minorHAnsi"/>
      <w:kern w:val="0"/>
      <w:sz w:val="22"/>
      <w:szCs w:val="22"/>
      <w:lang w:val="en-US" w:eastAsia="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850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FA2F47"/>
    <w:pPr>
      <w:spacing w:after="160" w:line="259" w:lineRule="auto"/>
      <w:ind w:left="720" w:right="0" w:firstLine="0"/>
      <w:contextualSpacing/>
      <w:jc w:val="left"/>
    </w:pPr>
    <w:rPr>
      <w:rFonts w:asciiTheme="minorHAnsi" w:eastAsiaTheme="minorHAnsi" w:hAnsiTheme="minorHAnsi" w:cstheme="minorBidi"/>
      <w:color w:val="auto"/>
      <w:kern w:val="0"/>
      <w:sz w:val="22"/>
      <w:szCs w:val="22"/>
      <w:lang w:val="en-GB"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DF4DA-1D00-4492-B301-213028D0E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8085</Words>
  <Characters>46089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cp:lastModifiedBy>latifahhanif0809@outlook.com</cp:lastModifiedBy>
  <cp:revision>2</cp:revision>
  <dcterms:created xsi:type="dcterms:W3CDTF">2025-03-12T04:20:00Z</dcterms:created>
  <dcterms:modified xsi:type="dcterms:W3CDTF">2025-03-12T04:20:00Z</dcterms:modified>
</cp:coreProperties>
</file>